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C4" w:rsidRPr="005F4BF4" w:rsidRDefault="008539C4" w:rsidP="005F4BF4">
      <w:pPr>
        <w:pStyle w:val="Title"/>
      </w:pPr>
    </w:p>
    <w:p w:rsidR="00771F16" w:rsidRDefault="00F8336F" w:rsidP="00280751">
      <w:pPr>
        <w:pStyle w:val="Title"/>
        <w:shd w:val="clear" w:color="auto" w:fill="A3CEED" w:themeFill="accent2" w:themeFillTint="66"/>
      </w:pPr>
      <w:r>
        <w:t xml:space="preserve">CAAM-HP </w:t>
      </w:r>
      <w:r w:rsidR="00773A2E">
        <w:t xml:space="preserve">Nutritional </w:t>
      </w:r>
      <w:r w:rsidR="008539C4">
        <w:t>Education Database</w:t>
      </w:r>
    </w:p>
    <w:p w:rsidR="00C42A83" w:rsidRPr="00C42A83" w:rsidRDefault="00C42A83" w:rsidP="00C42A83">
      <w:pPr>
        <w:keepNext/>
        <w:keepLines/>
        <w:spacing w:before="480" w:after="0"/>
        <w:outlineLvl w:val="0"/>
        <w:rPr>
          <w:rFonts w:ascii="Candara" w:eastAsia="STKaiti" w:hAnsi="Candara" w:cs="Tahoma"/>
          <w:b/>
          <w:bCs/>
          <w:sz w:val="48"/>
          <w:szCs w:val="40"/>
        </w:rPr>
      </w:pPr>
      <w:r w:rsidRPr="00C42A83">
        <w:rPr>
          <w:rFonts w:ascii="Candara" w:eastAsia="STKaiti" w:hAnsi="Candara" w:cs="Tahoma"/>
          <w:b/>
          <w:bCs/>
          <w:sz w:val="48"/>
          <w:szCs w:val="40"/>
        </w:rPr>
        <w:t xml:space="preserve">Section </w:t>
      </w:r>
      <w:r>
        <w:rPr>
          <w:rFonts w:ascii="Candara" w:eastAsia="STKaiti" w:hAnsi="Candara" w:cs="Tahoma"/>
          <w:b/>
          <w:bCs/>
          <w:sz w:val="48"/>
          <w:szCs w:val="40"/>
        </w:rPr>
        <w:t>VI – Continuing Education</w:t>
      </w:r>
    </w:p>
    <w:p w:rsidR="00F8336F" w:rsidRDefault="00F8336F" w:rsidP="00F8336F">
      <w:pPr>
        <w:pStyle w:val="Heading2"/>
      </w:pPr>
    </w:p>
    <w:p w:rsidR="008539C4" w:rsidRPr="00280751" w:rsidRDefault="008539C4" w:rsidP="00F8336F">
      <w:pPr>
        <w:pStyle w:val="Heading2"/>
        <w:rPr>
          <w:rFonts w:ascii="Times New Roman" w:hAnsi="Times New Roman" w:cs="Times New Roman"/>
          <w:b w:val="0"/>
          <w:color w:val="1C6194" w:themeColor="accent2" w:themeShade="BF"/>
          <w:sz w:val="40"/>
        </w:rPr>
      </w:pPr>
      <w:r w:rsidRPr="00280751">
        <w:rPr>
          <w:rFonts w:ascii="Times New Roman" w:hAnsi="Times New Roman" w:cs="Times New Roman"/>
          <w:b w:val="0"/>
          <w:color w:val="1C6194" w:themeColor="accent2" w:themeShade="BF"/>
          <w:sz w:val="40"/>
        </w:rPr>
        <w:t>[Name of School]</w:t>
      </w:r>
    </w:p>
    <w:p w:rsidR="008539C4" w:rsidRPr="00280751" w:rsidRDefault="008539C4" w:rsidP="00F24814">
      <w:pPr>
        <w:pStyle w:val="Heading2"/>
        <w:rPr>
          <w:rFonts w:ascii="Bookman Old Style" w:hAnsi="Bookman Old Style"/>
          <w:b w:val="0"/>
          <w:color w:val="1C6194" w:themeColor="accent2" w:themeShade="BF"/>
          <w:sz w:val="36"/>
        </w:rPr>
      </w:pPr>
      <w:r w:rsidRPr="00280751">
        <w:rPr>
          <w:rFonts w:ascii="Times New Roman" w:hAnsi="Times New Roman" w:cs="Times New Roman"/>
          <w:b w:val="0"/>
          <w:color w:val="1C6194" w:themeColor="accent2" w:themeShade="BF"/>
          <w:sz w:val="40"/>
        </w:rPr>
        <w:t>[Date of submission]</w:t>
      </w:r>
    </w:p>
    <w:p w:rsidR="008539C4" w:rsidRDefault="008539C4" w:rsidP="000A0F9B"/>
    <w:p w:rsidR="00353F77" w:rsidRDefault="00353F77" w:rsidP="000A0F9B"/>
    <w:p w:rsidR="00353F77" w:rsidRDefault="007267E6" w:rsidP="000A0F9B">
      <w:r>
        <w:rPr>
          <w:noProof/>
          <w:lang w:eastAsia="en-US"/>
        </w:rPr>
        <w:pict>
          <v:shapetype id="_x0000_t202" coordsize="21600,21600" o:spt="202" path="m,l,21600r21600,l21600,xe">
            <v:stroke joinstyle="miter"/>
            <v:path gradientshapeok="t" o:connecttype="rect"/>
          </v:shapetype>
          <v:shape id="Text Box 1" o:spid="_x0000_s1026" type="#_x0000_t202" style="position:absolute;margin-left:54pt;margin-top:438.1pt;width:349.5pt;height:240pt;z-index:-251628544;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" fillcolor="#dfe3e5 [3214]" strokecolor="#264356 [2415]" strokeweight=".5pt">
            <v:stroke linestyle="thinThin"/>
            <v:textbox>
              <w:txbxContent>
                <w:p w:rsidR="00EB6A29" w:rsidRPr="0027755B" w:rsidRDefault="00EB6A29" w:rsidP="00EB6A29">
                  <w:pPr>
                    <w:spacing w:before="120"/>
                    <w:jc w:val="center"/>
                    <w:rPr>
                      <w:rFonts w:ascii="Candara" w:hAnsi="Candara"/>
                      <w:b/>
                    </w:rPr>
                  </w:pPr>
                  <w:r w:rsidRPr="0027755B">
                    <w:rPr>
                      <w:rFonts w:ascii="Candara" w:hAnsi="Candara"/>
                      <w:b/>
                    </w:rPr>
                    <w:t>GUIDELINES FOR SCHOOLS</w:t>
                  </w:r>
                </w:p>
                <w:p w:rsidR="00EB6A29" w:rsidRPr="00FB34C2" w:rsidRDefault="00EB6A29" w:rsidP="00EB6A29">
                  <w:pPr>
                    <w:jc w:val="center"/>
                    <w:rPr>
                      <w:rFonts w:ascii="Candara" w:hAnsi="Candara"/>
                    </w:rPr>
                  </w:pPr>
                  <w:r w:rsidRPr="00FB34C2">
                    <w:rPr>
                      <w:rFonts w:ascii="Candara" w:hAnsi="Candara"/>
                    </w:rPr>
                    <w:t>This data base section has been prepared as an editable template in Microsoft Word format</w:t>
                  </w:r>
                </w:p>
                <w:p w:rsidR="00EB6A29" w:rsidRPr="00FB34C2" w:rsidRDefault="00EB6A29" w:rsidP="00EB6A29">
                  <w:pPr>
                    <w:jc w:val="center"/>
                    <w:rPr>
                      <w:rFonts w:ascii="Candara" w:hAnsi="Candara"/>
                    </w:rPr>
                  </w:pPr>
                  <w:r w:rsidRPr="00FB34C2">
                    <w:rPr>
                      <w:rFonts w:ascii="Candara" w:hAnsi="Candara"/>
                    </w:rPr>
                    <w:t>Shaded text boxes and tables are provided as guidelines for entering text in response to each item.</w:t>
                  </w:r>
                </w:p>
                <w:p w:rsidR="00EB6A29" w:rsidRPr="00FB34C2" w:rsidRDefault="00EB6A29" w:rsidP="00EB6A29">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EB6A29" w:rsidRPr="00FB34C2" w:rsidRDefault="00EB6A29" w:rsidP="00EB6A29">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EB6A29" w:rsidRPr="00FB34C2" w:rsidRDefault="00EB6A29" w:rsidP="00EB6A29">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w:r>
    </w:p>
    <w:p w:rsidR="00EB6A29" w:rsidRDefault="00EB6A29" w:rsidP="000A0F9B">
      <w:pPr>
        <w:sectPr w:rsidR="00EB6A29" w:rsidSect="005A32C5">
          <w:footerReference w:type="first" r:id="rId8"/>
          <w:pgSz w:w="12240" w:h="15840"/>
          <w:pgMar w:top="1440" w:right="1296" w:bottom="1440" w:left="1584" w:header="720" w:footer="720" w:gutter="0"/>
          <w:cols w:space="720"/>
          <w:docGrid w:linePitch="299"/>
        </w:sectPr>
      </w:pPr>
    </w:p>
    <w:p w:rsidR="004A7F4B" w:rsidRDefault="004A7F4B" w:rsidP="00DA4F0D">
      <w:pPr>
        <w:pStyle w:val="Heading5"/>
      </w:pPr>
      <w:r w:rsidRPr="004A7F4B">
        <w:lastRenderedPageBreak/>
        <w:t>Part A:  Key Quantitative Indicators</w:t>
      </w:r>
    </w:p>
    <w:p w:rsidR="00440D03" w:rsidRPr="0071525C" w:rsidRDefault="00440D03" w:rsidP="00440D03">
      <w:pPr>
        <w:jc w:val="both"/>
        <w:rPr>
          <w:sz w:val="24"/>
          <w:szCs w:val="24"/>
          <w:highlight w:val="yellow"/>
          <w:lang w:val="en-GB"/>
        </w:rPr>
      </w:pPr>
    </w:p>
    <w:p w:rsidR="0071525C" w:rsidRPr="0071525C" w:rsidRDefault="0071525C" w:rsidP="006D0A03">
      <w:pPr>
        <w:widowControl w:val="0"/>
        <w:numPr>
          <w:ilvl w:val="0"/>
          <w:numId w:val="1"/>
        </w:numPr>
        <w:autoSpaceDE w:val="0"/>
        <w:autoSpaceDN w:val="0"/>
        <w:adjustRightInd w:val="0"/>
        <w:spacing w:after="0" w:line="240" w:lineRule="auto"/>
        <w:jc w:val="both"/>
        <w:rPr>
          <w:sz w:val="24"/>
          <w:szCs w:val="24"/>
          <w:lang w:val="en-GB"/>
        </w:rPr>
      </w:pPr>
      <w:r w:rsidRPr="0071525C">
        <w:rPr>
          <w:sz w:val="24"/>
          <w:szCs w:val="24"/>
          <w:lang w:val="en-GB"/>
        </w:rPr>
        <w:t>Number of participants enrolled in the school’s continuing education programme for the last three years.</w:t>
      </w:r>
    </w:p>
    <w:tbl>
      <w:tblPr>
        <w:tblStyle w:val="TableGrid"/>
        <w:tblW w:w="0" w:type="auto"/>
        <w:tblInd w:w="1998" w:type="dxa"/>
        <w:tblLook w:val="04A0" w:firstRow="1" w:lastRow="0" w:firstColumn="1" w:lastColumn="0" w:noHBand="0" w:noVBand="1"/>
      </w:tblPr>
      <w:tblGrid>
        <w:gridCol w:w="1419"/>
        <w:gridCol w:w="1224"/>
        <w:gridCol w:w="1530"/>
        <w:gridCol w:w="1587"/>
      </w:tblGrid>
      <w:tr w:rsidR="005839B3" w:rsidTr="005839B3">
        <w:tc>
          <w:tcPr>
            <w:tcW w:w="1419" w:type="dxa"/>
          </w:tcPr>
          <w:p w:rsidR="005839B3" w:rsidRDefault="005839B3" w:rsidP="0071525C">
            <w:pPr>
              <w:widowControl w:val="0"/>
              <w:autoSpaceDE w:val="0"/>
              <w:autoSpaceDN w:val="0"/>
              <w:adjustRightInd w:val="0"/>
              <w:jc w:val="both"/>
              <w:rPr>
                <w:sz w:val="24"/>
                <w:szCs w:val="24"/>
                <w:lang w:val="en-GB"/>
              </w:rPr>
            </w:pPr>
          </w:p>
        </w:tc>
        <w:tc>
          <w:tcPr>
            <w:tcW w:w="1224" w:type="dxa"/>
          </w:tcPr>
          <w:p w:rsidR="005839B3" w:rsidRDefault="005839B3" w:rsidP="0071525C">
            <w:pPr>
              <w:widowControl w:val="0"/>
              <w:autoSpaceDE w:val="0"/>
              <w:autoSpaceDN w:val="0"/>
              <w:adjustRightInd w:val="0"/>
              <w:jc w:val="both"/>
              <w:rPr>
                <w:sz w:val="24"/>
                <w:szCs w:val="24"/>
                <w:lang w:val="en-GB"/>
              </w:rPr>
            </w:pPr>
            <w:r>
              <w:rPr>
                <w:sz w:val="24"/>
                <w:szCs w:val="24"/>
                <w:lang w:val="en-GB"/>
              </w:rPr>
              <w:t xml:space="preserve">Current Year </w:t>
            </w:r>
          </w:p>
        </w:tc>
        <w:tc>
          <w:tcPr>
            <w:tcW w:w="1530" w:type="dxa"/>
          </w:tcPr>
          <w:p w:rsidR="005839B3" w:rsidRDefault="005839B3" w:rsidP="005839B3">
            <w:pPr>
              <w:widowControl w:val="0"/>
              <w:autoSpaceDE w:val="0"/>
              <w:autoSpaceDN w:val="0"/>
              <w:adjustRightInd w:val="0"/>
              <w:jc w:val="both"/>
              <w:rPr>
                <w:sz w:val="24"/>
                <w:szCs w:val="24"/>
                <w:lang w:val="en-GB"/>
              </w:rPr>
            </w:pPr>
            <w:r>
              <w:rPr>
                <w:sz w:val="24"/>
                <w:szCs w:val="24"/>
                <w:lang w:val="en-GB"/>
              </w:rPr>
              <w:t>1 Year Prior</w:t>
            </w:r>
          </w:p>
        </w:tc>
        <w:tc>
          <w:tcPr>
            <w:tcW w:w="1587" w:type="dxa"/>
          </w:tcPr>
          <w:p w:rsidR="005839B3" w:rsidRDefault="005839B3" w:rsidP="005839B3">
            <w:pPr>
              <w:widowControl w:val="0"/>
              <w:autoSpaceDE w:val="0"/>
              <w:autoSpaceDN w:val="0"/>
              <w:adjustRightInd w:val="0"/>
              <w:jc w:val="both"/>
              <w:rPr>
                <w:sz w:val="24"/>
                <w:szCs w:val="24"/>
                <w:lang w:val="en-GB"/>
              </w:rPr>
            </w:pPr>
            <w:r>
              <w:rPr>
                <w:sz w:val="24"/>
                <w:szCs w:val="24"/>
                <w:lang w:val="en-GB"/>
              </w:rPr>
              <w:t>2 Years Prior</w:t>
            </w:r>
          </w:p>
        </w:tc>
      </w:tr>
      <w:tr w:rsidR="005839B3" w:rsidTr="005839B3">
        <w:tc>
          <w:tcPr>
            <w:tcW w:w="1419" w:type="dxa"/>
          </w:tcPr>
          <w:p w:rsidR="005839B3" w:rsidRDefault="005839B3" w:rsidP="0071525C">
            <w:pPr>
              <w:widowControl w:val="0"/>
              <w:autoSpaceDE w:val="0"/>
              <w:autoSpaceDN w:val="0"/>
              <w:adjustRightInd w:val="0"/>
              <w:jc w:val="both"/>
              <w:rPr>
                <w:sz w:val="24"/>
                <w:szCs w:val="24"/>
                <w:lang w:val="en-GB"/>
              </w:rPr>
            </w:pPr>
            <w:r>
              <w:rPr>
                <w:sz w:val="24"/>
                <w:szCs w:val="24"/>
                <w:lang w:val="en-GB"/>
              </w:rPr>
              <w:t>Participants</w:t>
            </w:r>
          </w:p>
        </w:tc>
        <w:tc>
          <w:tcPr>
            <w:tcW w:w="1224" w:type="dxa"/>
          </w:tcPr>
          <w:p w:rsidR="005839B3" w:rsidRDefault="005839B3" w:rsidP="0071525C">
            <w:pPr>
              <w:widowControl w:val="0"/>
              <w:autoSpaceDE w:val="0"/>
              <w:autoSpaceDN w:val="0"/>
              <w:adjustRightInd w:val="0"/>
              <w:jc w:val="both"/>
              <w:rPr>
                <w:sz w:val="24"/>
                <w:szCs w:val="24"/>
                <w:lang w:val="en-GB"/>
              </w:rPr>
            </w:pPr>
          </w:p>
        </w:tc>
        <w:tc>
          <w:tcPr>
            <w:tcW w:w="1530" w:type="dxa"/>
          </w:tcPr>
          <w:p w:rsidR="005839B3" w:rsidRDefault="005839B3" w:rsidP="0071525C">
            <w:pPr>
              <w:widowControl w:val="0"/>
              <w:autoSpaceDE w:val="0"/>
              <w:autoSpaceDN w:val="0"/>
              <w:adjustRightInd w:val="0"/>
              <w:jc w:val="both"/>
              <w:rPr>
                <w:sz w:val="24"/>
                <w:szCs w:val="24"/>
                <w:lang w:val="en-GB"/>
              </w:rPr>
            </w:pPr>
          </w:p>
        </w:tc>
        <w:tc>
          <w:tcPr>
            <w:tcW w:w="1587" w:type="dxa"/>
          </w:tcPr>
          <w:p w:rsidR="005839B3" w:rsidRDefault="005839B3" w:rsidP="0071525C">
            <w:pPr>
              <w:widowControl w:val="0"/>
              <w:autoSpaceDE w:val="0"/>
              <w:autoSpaceDN w:val="0"/>
              <w:adjustRightInd w:val="0"/>
              <w:jc w:val="both"/>
              <w:rPr>
                <w:sz w:val="24"/>
                <w:szCs w:val="24"/>
                <w:lang w:val="en-GB"/>
              </w:rPr>
            </w:pPr>
          </w:p>
        </w:tc>
      </w:tr>
    </w:tbl>
    <w:p w:rsidR="0071525C" w:rsidRPr="0071525C" w:rsidRDefault="0071525C" w:rsidP="0071525C">
      <w:pPr>
        <w:widowControl w:val="0"/>
        <w:autoSpaceDE w:val="0"/>
        <w:autoSpaceDN w:val="0"/>
        <w:adjustRightInd w:val="0"/>
        <w:spacing w:after="0" w:line="240" w:lineRule="auto"/>
        <w:ind w:left="360"/>
        <w:jc w:val="both"/>
        <w:rPr>
          <w:sz w:val="24"/>
          <w:szCs w:val="24"/>
          <w:lang w:val="en-GB"/>
        </w:rPr>
      </w:pPr>
    </w:p>
    <w:p w:rsidR="0071525C" w:rsidRDefault="0071525C" w:rsidP="006D0A03">
      <w:pPr>
        <w:widowControl w:val="0"/>
        <w:numPr>
          <w:ilvl w:val="0"/>
          <w:numId w:val="1"/>
        </w:numPr>
        <w:autoSpaceDE w:val="0"/>
        <w:autoSpaceDN w:val="0"/>
        <w:adjustRightInd w:val="0"/>
        <w:spacing w:after="0" w:line="240" w:lineRule="auto"/>
        <w:jc w:val="both"/>
        <w:rPr>
          <w:sz w:val="24"/>
          <w:szCs w:val="24"/>
          <w:lang w:val="en-GB"/>
        </w:rPr>
      </w:pPr>
      <w:r w:rsidRPr="0071525C">
        <w:rPr>
          <w:sz w:val="24"/>
          <w:szCs w:val="24"/>
          <w:lang w:val="en-GB"/>
        </w:rPr>
        <w:t>Complete the table listing the ty</w:t>
      </w:r>
      <w:r w:rsidR="005839B3">
        <w:rPr>
          <w:sz w:val="24"/>
          <w:szCs w:val="24"/>
          <w:lang w:val="en-GB"/>
        </w:rPr>
        <w:t>p</w:t>
      </w:r>
      <w:r w:rsidRPr="0071525C">
        <w:rPr>
          <w:sz w:val="24"/>
          <w:szCs w:val="24"/>
          <w:lang w:val="en-GB"/>
        </w:rPr>
        <w:t>es of continuing professional education (CPE) activities and the number partic</w:t>
      </w:r>
      <w:r w:rsidR="005839B3">
        <w:rPr>
          <w:sz w:val="24"/>
          <w:szCs w:val="24"/>
          <w:lang w:val="en-GB"/>
        </w:rPr>
        <w:t>i</w:t>
      </w:r>
      <w:r w:rsidRPr="0071525C">
        <w:rPr>
          <w:sz w:val="24"/>
          <w:szCs w:val="24"/>
          <w:lang w:val="en-GB"/>
        </w:rPr>
        <w:t>pants in each for</w:t>
      </w:r>
      <w:r w:rsidR="005839B3">
        <w:rPr>
          <w:sz w:val="24"/>
          <w:szCs w:val="24"/>
          <w:lang w:val="en-GB"/>
        </w:rPr>
        <w:t xml:space="preserve"> the</w:t>
      </w:r>
      <w:r w:rsidRPr="0071525C">
        <w:rPr>
          <w:sz w:val="24"/>
          <w:szCs w:val="24"/>
          <w:lang w:val="en-GB"/>
        </w:rPr>
        <w:t xml:space="preserve"> current year and the two previous years</w:t>
      </w:r>
    </w:p>
    <w:tbl>
      <w:tblPr>
        <w:tblStyle w:val="TableGrid"/>
        <w:tblW w:w="0" w:type="auto"/>
        <w:tblInd w:w="360" w:type="dxa"/>
        <w:tblLook w:val="04A0" w:firstRow="1" w:lastRow="0" w:firstColumn="1" w:lastColumn="0" w:noHBand="0" w:noVBand="1"/>
      </w:tblPr>
      <w:tblGrid>
        <w:gridCol w:w="558"/>
        <w:gridCol w:w="3128"/>
        <w:gridCol w:w="1843"/>
        <w:gridCol w:w="1843"/>
        <w:gridCol w:w="1844"/>
      </w:tblGrid>
      <w:tr w:rsidR="005839B3" w:rsidTr="003D4B90">
        <w:tc>
          <w:tcPr>
            <w:tcW w:w="558" w:type="dxa"/>
            <w:vMerge w:val="restart"/>
          </w:tcPr>
          <w:p w:rsidR="005839B3" w:rsidRDefault="005839B3" w:rsidP="005839B3">
            <w:pPr>
              <w:widowControl w:val="0"/>
              <w:autoSpaceDE w:val="0"/>
              <w:autoSpaceDN w:val="0"/>
              <w:adjustRightInd w:val="0"/>
              <w:jc w:val="both"/>
              <w:rPr>
                <w:sz w:val="24"/>
                <w:szCs w:val="24"/>
                <w:lang w:val="en-GB"/>
              </w:rPr>
            </w:pPr>
          </w:p>
        </w:tc>
        <w:tc>
          <w:tcPr>
            <w:tcW w:w="3128" w:type="dxa"/>
            <w:vMerge w:val="restart"/>
          </w:tcPr>
          <w:p w:rsidR="005839B3" w:rsidRDefault="005839B3" w:rsidP="005839B3">
            <w:pPr>
              <w:widowControl w:val="0"/>
              <w:autoSpaceDE w:val="0"/>
              <w:autoSpaceDN w:val="0"/>
              <w:adjustRightInd w:val="0"/>
              <w:jc w:val="both"/>
              <w:rPr>
                <w:sz w:val="24"/>
                <w:szCs w:val="24"/>
                <w:lang w:val="en-GB"/>
              </w:rPr>
            </w:pPr>
          </w:p>
          <w:p w:rsidR="005839B3" w:rsidRDefault="005839B3" w:rsidP="005839B3">
            <w:pPr>
              <w:widowControl w:val="0"/>
              <w:autoSpaceDE w:val="0"/>
              <w:autoSpaceDN w:val="0"/>
              <w:adjustRightInd w:val="0"/>
              <w:jc w:val="both"/>
              <w:rPr>
                <w:sz w:val="24"/>
                <w:szCs w:val="24"/>
                <w:lang w:val="en-GB"/>
              </w:rPr>
            </w:pPr>
            <w:r>
              <w:rPr>
                <w:sz w:val="24"/>
                <w:szCs w:val="24"/>
                <w:lang w:val="en-GB"/>
              </w:rPr>
              <w:t>Types of CPE Activities</w:t>
            </w:r>
          </w:p>
        </w:tc>
        <w:tc>
          <w:tcPr>
            <w:tcW w:w="5530" w:type="dxa"/>
            <w:gridSpan w:val="3"/>
          </w:tcPr>
          <w:p w:rsidR="005839B3" w:rsidRDefault="005839B3" w:rsidP="005839B3">
            <w:pPr>
              <w:widowControl w:val="0"/>
              <w:autoSpaceDE w:val="0"/>
              <w:autoSpaceDN w:val="0"/>
              <w:adjustRightInd w:val="0"/>
              <w:jc w:val="center"/>
              <w:rPr>
                <w:sz w:val="24"/>
                <w:szCs w:val="24"/>
                <w:lang w:val="en-GB"/>
              </w:rPr>
            </w:pPr>
            <w:r>
              <w:rPr>
                <w:sz w:val="24"/>
                <w:szCs w:val="24"/>
                <w:lang w:val="en-GB"/>
              </w:rPr>
              <w:t>Number of Participants</w:t>
            </w:r>
          </w:p>
        </w:tc>
      </w:tr>
      <w:tr w:rsidR="00A24625" w:rsidTr="005839B3">
        <w:tc>
          <w:tcPr>
            <w:tcW w:w="558" w:type="dxa"/>
            <w:vMerge/>
          </w:tcPr>
          <w:p w:rsidR="00A24625" w:rsidRDefault="00A24625" w:rsidP="005839B3">
            <w:pPr>
              <w:widowControl w:val="0"/>
              <w:autoSpaceDE w:val="0"/>
              <w:autoSpaceDN w:val="0"/>
              <w:adjustRightInd w:val="0"/>
              <w:jc w:val="both"/>
              <w:rPr>
                <w:sz w:val="24"/>
                <w:szCs w:val="24"/>
                <w:lang w:val="en-GB"/>
              </w:rPr>
            </w:pPr>
          </w:p>
        </w:tc>
        <w:tc>
          <w:tcPr>
            <w:tcW w:w="3128" w:type="dxa"/>
            <w:vMerge/>
          </w:tcPr>
          <w:p w:rsidR="00A24625" w:rsidRDefault="00A24625" w:rsidP="005839B3">
            <w:pPr>
              <w:widowControl w:val="0"/>
              <w:autoSpaceDE w:val="0"/>
              <w:autoSpaceDN w:val="0"/>
              <w:adjustRightInd w:val="0"/>
              <w:jc w:val="both"/>
              <w:rPr>
                <w:sz w:val="24"/>
                <w:szCs w:val="24"/>
                <w:lang w:val="en-GB"/>
              </w:rPr>
            </w:pPr>
          </w:p>
        </w:tc>
        <w:tc>
          <w:tcPr>
            <w:tcW w:w="1843" w:type="dxa"/>
          </w:tcPr>
          <w:p w:rsidR="00A24625" w:rsidRDefault="00A24625" w:rsidP="009B4DAD">
            <w:pPr>
              <w:widowControl w:val="0"/>
              <w:autoSpaceDE w:val="0"/>
              <w:autoSpaceDN w:val="0"/>
              <w:adjustRightInd w:val="0"/>
              <w:jc w:val="both"/>
              <w:rPr>
                <w:sz w:val="24"/>
                <w:szCs w:val="24"/>
                <w:lang w:val="en-GB"/>
              </w:rPr>
            </w:pPr>
            <w:r>
              <w:rPr>
                <w:sz w:val="24"/>
                <w:szCs w:val="24"/>
                <w:lang w:val="en-GB"/>
              </w:rPr>
              <w:t xml:space="preserve">Current Year </w:t>
            </w:r>
          </w:p>
        </w:tc>
        <w:tc>
          <w:tcPr>
            <w:tcW w:w="1843" w:type="dxa"/>
          </w:tcPr>
          <w:p w:rsidR="00A24625" w:rsidRDefault="00A24625" w:rsidP="009B4DAD">
            <w:pPr>
              <w:widowControl w:val="0"/>
              <w:autoSpaceDE w:val="0"/>
              <w:autoSpaceDN w:val="0"/>
              <w:adjustRightInd w:val="0"/>
              <w:jc w:val="both"/>
              <w:rPr>
                <w:sz w:val="24"/>
                <w:szCs w:val="24"/>
                <w:lang w:val="en-GB"/>
              </w:rPr>
            </w:pPr>
            <w:r>
              <w:rPr>
                <w:sz w:val="24"/>
                <w:szCs w:val="24"/>
                <w:lang w:val="en-GB"/>
              </w:rPr>
              <w:t>1 Year Prior</w:t>
            </w:r>
          </w:p>
        </w:tc>
        <w:tc>
          <w:tcPr>
            <w:tcW w:w="1844" w:type="dxa"/>
          </w:tcPr>
          <w:p w:rsidR="00A24625" w:rsidRDefault="00A24625" w:rsidP="009B4DAD">
            <w:pPr>
              <w:widowControl w:val="0"/>
              <w:autoSpaceDE w:val="0"/>
              <w:autoSpaceDN w:val="0"/>
              <w:adjustRightInd w:val="0"/>
              <w:jc w:val="both"/>
              <w:rPr>
                <w:sz w:val="24"/>
                <w:szCs w:val="24"/>
                <w:lang w:val="en-GB"/>
              </w:rPr>
            </w:pPr>
            <w:r>
              <w:rPr>
                <w:sz w:val="24"/>
                <w:szCs w:val="24"/>
                <w:lang w:val="en-GB"/>
              </w:rPr>
              <w:t>2 Years Prior</w:t>
            </w:r>
          </w:p>
        </w:tc>
      </w:tr>
      <w:tr w:rsidR="005839B3" w:rsidTr="005839B3">
        <w:tc>
          <w:tcPr>
            <w:tcW w:w="558" w:type="dxa"/>
          </w:tcPr>
          <w:p w:rsidR="005839B3" w:rsidRDefault="005839B3" w:rsidP="005839B3">
            <w:pPr>
              <w:widowControl w:val="0"/>
              <w:autoSpaceDE w:val="0"/>
              <w:autoSpaceDN w:val="0"/>
              <w:adjustRightInd w:val="0"/>
              <w:jc w:val="both"/>
              <w:rPr>
                <w:sz w:val="24"/>
                <w:szCs w:val="24"/>
                <w:lang w:val="en-GB"/>
              </w:rPr>
            </w:pPr>
            <w:r>
              <w:rPr>
                <w:sz w:val="24"/>
                <w:szCs w:val="24"/>
                <w:lang w:val="en-GB"/>
              </w:rPr>
              <w:t>1</w:t>
            </w:r>
          </w:p>
        </w:tc>
        <w:tc>
          <w:tcPr>
            <w:tcW w:w="3128" w:type="dxa"/>
          </w:tcPr>
          <w:p w:rsidR="005839B3" w:rsidRDefault="005839B3" w:rsidP="005839B3">
            <w:pPr>
              <w:widowControl w:val="0"/>
              <w:autoSpaceDE w:val="0"/>
              <w:autoSpaceDN w:val="0"/>
              <w:adjustRightInd w:val="0"/>
              <w:jc w:val="both"/>
              <w:rPr>
                <w:sz w:val="24"/>
                <w:szCs w:val="24"/>
                <w:lang w:val="en-GB"/>
              </w:rPr>
            </w:pP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4" w:type="dxa"/>
          </w:tcPr>
          <w:p w:rsidR="005839B3" w:rsidRDefault="005839B3" w:rsidP="005839B3">
            <w:pPr>
              <w:widowControl w:val="0"/>
              <w:autoSpaceDE w:val="0"/>
              <w:autoSpaceDN w:val="0"/>
              <w:adjustRightInd w:val="0"/>
              <w:jc w:val="both"/>
              <w:rPr>
                <w:sz w:val="24"/>
                <w:szCs w:val="24"/>
                <w:lang w:val="en-GB"/>
              </w:rPr>
            </w:pPr>
          </w:p>
        </w:tc>
      </w:tr>
      <w:tr w:rsidR="005839B3" w:rsidTr="005839B3">
        <w:tc>
          <w:tcPr>
            <w:tcW w:w="558" w:type="dxa"/>
          </w:tcPr>
          <w:p w:rsidR="005839B3" w:rsidRDefault="005839B3" w:rsidP="005839B3">
            <w:pPr>
              <w:widowControl w:val="0"/>
              <w:autoSpaceDE w:val="0"/>
              <w:autoSpaceDN w:val="0"/>
              <w:adjustRightInd w:val="0"/>
              <w:jc w:val="both"/>
              <w:rPr>
                <w:sz w:val="24"/>
                <w:szCs w:val="24"/>
                <w:lang w:val="en-GB"/>
              </w:rPr>
            </w:pPr>
            <w:r>
              <w:rPr>
                <w:sz w:val="24"/>
                <w:szCs w:val="24"/>
                <w:lang w:val="en-GB"/>
              </w:rPr>
              <w:t>2</w:t>
            </w:r>
          </w:p>
        </w:tc>
        <w:tc>
          <w:tcPr>
            <w:tcW w:w="3128" w:type="dxa"/>
          </w:tcPr>
          <w:p w:rsidR="005839B3" w:rsidRDefault="005839B3" w:rsidP="005839B3">
            <w:pPr>
              <w:widowControl w:val="0"/>
              <w:autoSpaceDE w:val="0"/>
              <w:autoSpaceDN w:val="0"/>
              <w:adjustRightInd w:val="0"/>
              <w:jc w:val="both"/>
              <w:rPr>
                <w:sz w:val="24"/>
                <w:szCs w:val="24"/>
                <w:lang w:val="en-GB"/>
              </w:rPr>
            </w:pP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4" w:type="dxa"/>
          </w:tcPr>
          <w:p w:rsidR="005839B3" w:rsidRDefault="005839B3" w:rsidP="005839B3">
            <w:pPr>
              <w:widowControl w:val="0"/>
              <w:autoSpaceDE w:val="0"/>
              <w:autoSpaceDN w:val="0"/>
              <w:adjustRightInd w:val="0"/>
              <w:jc w:val="both"/>
              <w:rPr>
                <w:sz w:val="24"/>
                <w:szCs w:val="24"/>
                <w:lang w:val="en-GB"/>
              </w:rPr>
            </w:pPr>
          </w:p>
        </w:tc>
      </w:tr>
      <w:tr w:rsidR="005839B3" w:rsidTr="005839B3">
        <w:tc>
          <w:tcPr>
            <w:tcW w:w="558" w:type="dxa"/>
          </w:tcPr>
          <w:p w:rsidR="005839B3" w:rsidRDefault="005839B3" w:rsidP="005839B3">
            <w:pPr>
              <w:widowControl w:val="0"/>
              <w:autoSpaceDE w:val="0"/>
              <w:autoSpaceDN w:val="0"/>
              <w:adjustRightInd w:val="0"/>
              <w:jc w:val="both"/>
              <w:rPr>
                <w:sz w:val="24"/>
                <w:szCs w:val="24"/>
                <w:lang w:val="en-GB"/>
              </w:rPr>
            </w:pPr>
          </w:p>
        </w:tc>
        <w:tc>
          <w:tcPr>
            <w:tcW w:w="3128" w:type="dxa"/>
          </w:tcPr>
          <w:p w:rsidR="005839B3" w:rsidRDefault="005839B3" w:rsidP="005839B3">
            <w:pPr>
              <w:widowControl w:val="0"/>
              <w:autoSpaceDE w:val="0"/>
              <w:autoSpaceDN w:val="0"/>
              <w:adjustRightInd w:val="0"/>
              <w:jc w:val="both"/>
              <w:rPr>
                <w:sz w:val="24"/>
                <w:szCs w:val="24"/>
                <w:lang w:val="en-GB"/>
              </w:rPr>
            </w:pPr>
            <w:r>
              <w:rPr>
                <w:sz w:val="24"/>
                <w:szCs w:val="24"/>
                <w:lang w:val="en-GB"/>
              </w:rPr>
              <w:t>Total</w:t>
            </w: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3" w:type="dxa"/>
          </w:tcPr>
          <w:p w:rsidR="005839B3" w:rsidRDefault="005839B3" w:rsidP="005839B3">
            <w:pPr>
              <w:widowControl w:val="0"/>
              <w:autoSpaceDE w:val="0"/>
              <w:autoSpaceDN w:val="0"/>
              <w:adjustRightInd w:val="0"/>
              <w:jc w:val="both"/>
              <w:rPr>
                <w:sz w:val="24"/>
                <w:szCs w:val="24"/>
                <w:lang w:val="en-GB"/>
              </w:rPr>
            </w:pPr>
          </w:p>
        </w:tc>
        <w:tc>
          <w:tcPr>
            <w:tcW w:w="1844" w:type="dxa"/>
          </w:tcPr>
          <w:p w:rsidR="005839B3" w:rsidRDefault="005839B3" w:rsidP="005839B3">
            <w:pPr>
              <w:widowControl w:val="0"/>
              <w:autoSpaceDE w:val="0"/>
              <w:autoSpaceDN w:val="0"/>
              <w:adjustRightInd w:val="0"/>
              <w:jc w:val="both"/>
              <w:rPr>
                <w:sz w:val="24"/>
                <w:szCs w:val="24"/>
                <w:lang w:val="en-GB"/>
              </w:rPr>
            </w:pPr>
          </w:p>
        </w:tc>
      </w:tr>
    </w:tbl>
    <w:p w:rsidR="005839B3" w:rsidRPr="0071525C" w:rsidRDefault="005839B3" w:rsidP="005839B3">
      <w:pPr>
        <w:widowControl w:val="0"/>
        <w:autoSpaceDE w:val="0"/>
        <w:autoSpaceDN w:val="0"/>
        <w:adjustRightInd w:val="0"/>
        <w:spacing w:after="0" w:line="240" w:lineRule="auto"/>
        <w:ind w:left="360"/>
        <w:jc w:val="both"/>
        <w:rPr>
          <w:sz w:val="24"/>
          <w:szCs w:val="24"/>
          <w:lang w:val="en-GB"/>
        </w:rPr>
      </w:pPr>
    </w:p>
    <w:p w:rsidR="0071525C" w:rsidRPr="0071525C" w:rsidRDefault="0071525C" w:rsidP="0071525C">
      <w:pPr>
        <w:pStyle w:val="ListParagraph"/>
        <w:rPr>
          <w:sz w:val="24"/>
          <w:szCs w:val="24"/>
          <w:lang w:val="en-GB"/>
        </w:rPr>
      </w:pPr>
    </w:p>
    <w:p w:rsidR="00440D03" w:rsidRPr="0071525C" w:rsidRDefault="0071525C" w:rsidP="00440D03">
      <w:pPr>
        <w:widowControl w:val="0"/>
        <w:numPr>
          <w:ilvl w:val="0"/>
          <w:numId w:val="1"/>
        </w:numPr>
        <w:autoSpaceDE w:val="0"/>
        <w:autoSpaceDN w:val="0"/>
        <w:adjustRightInd w:val="0"/>
        <w:spacing w:after="0" w:line="240" w:lineRule="auto"/>
        <w:jc w:val="both"/>
        <w:rPr>
          <w:sz w:val="24"/>
          <w:szCs w:val="24"/>
          <w:lang w:val="en-GB"/>
        </w:rPr>
      </w:pPr>
      <w:r w:rsidRPr="0071525C">
        <w:rPr>
          <w:sz w:val="24"/>
          <w:szCs w:val="24"/>
          <w:lang w:val="en-GB"/>
        </w:rPr>
        <w:t>Total number of scheduled hours of education programmes for CPE activities annually.</w:t>
      </w:r>
      <w:r w:rsidR="007267E6">
        <w:rPr>
          <w:noProof/>
          <w:lang w:eastAsia="en-US"/>
        </w:rPr>
        <w:pict>
          <v:shape id="Text Box 10" o:spid="_x0000_s1027" type="#_x0000_t202" style="position:absolute;left:0;text-align:left;margin-left:172.05pt;margin-top:17.6pt;width:80.6pt;height:2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" fillcolor="#dfeceb [665]" strokecolor="#c5ccd0 [2894]" strokeweight=".5pt">
            <v:textbox>
              <w:txbxContent>
                <w:p w:rsidR="00440D03" w:rsidRPr="00F8336F" w:rsidRDefault="00440D03" w:rsidP="00440D03">
                  <w:pPr>
                    <w:rPr>
                      <w:rFonts w:ascii="Bookman Old Style" w:hAnsi="Bookman Old Style"/>
                      <w:color w:val="2683C6" w:themeColor="accent2"/>
                      <w:sz w:val="24"/>
                    </w:rPr>
                  </w:pPr>
                </w:p>
              </w:txbxContent>
            </v:textbox>
          </v:shape>
        </w:pict>
      </w:r>
    </w:p>
    <w:p w:rsidR="00440D03" w:rsidRPr="0071525C" w:rsidRDefault="00440D03" w:rsidP="00440D03">
      <w:pPr>
        <w:jc w:val="both"/>
        <w:rPr>
          <w:sz w:val="24"/>
          <w:szCs w:val="24"/>
          <w:lang w:val="en-GB"/>
        </w:rPr>
      </w:pPr>
      <w:r w:rsidRPr="0071525C">
        <w:rPr>
          <w:sz w:val="24"/>
          <w:szCs w:val="24"/>
          <w:lang w:val="en-GB"/>
        </w:rPr>
        <w:tab/>
      </w:r>
      <w:r w:rsidRPr="0071525C">
        <w:rPr>
          <w:sz w:val="24"/>
          <w:szCs w:val="24"/>
          <w:lang w:val="en-GB"/>
        </w:rPr>
        <w:tab/>
      </w:r>
      <w:r w:rsidRPr="0071525C">
        <w:rPr>
          <w:sz w:val="24"/>
          <w:szCs w:val="24"/>
          <w:lang w:val="en-GB"/>
        </w:rPr>
        <w:tab/>
      </w:r>
      <w:r w:rsidRPr="0071525C">
        <w:rPr>
          <w:sz w:val="24"/>
          <w:szCs w:val="24"/>
          <w:lang w:val="en-GB"/>
        </w:rPr>
        <w:tab/>
      </w:r>
      <w:r w:rsidRPr="0071525C">
        <w:rPr>
          <w:sz w:val="24"/>
          <w:szCs w:val="24"/>
          <w:lang w:val="en-GB"/>
        </w:rPr>
        <w:tab/>
      </w:r>
    </w:p>
    <w:p w:rsidR="00440D03" w:rsidRPr="0071525C" w:rsidRDefault="00440D03" w:rsidP="00440D03">
      <w:pPr>
        <w:jc w:val="both"/>
        <w:rPr>
          <w:sz w:val="24"/>
          <w:szCs w:val="24"/>
          <w:highlight w:val="yellow"/>
          <w:lang w:val="en-GB"/>
        </w:rPr>
      </w:pPr>
    </w:p>
    <w:p w:rsidR="00440D03" w:rsidRDefault="00440D03" w:rsidP="00BA010C">
      <w:pPr>
        <w:spacing w:after="120"/>
        <w:rPr>
          <w:sz w:val="24"/>
          <w:szCs w:val="24"/>
          <w:lang w:val="en-GB"/>
        </w:rPr>
      </w:pPr>
      <w:r w:rsidRPr="00B45795">
        <w:rPr>
          <w:sz w:val="24"/>
          <w:szCs w:val="24"/>
          <w:lang w:val="en-GB"/>
        </w:rPr>
        <w:t>____________________________________________</w:t>
      </w:r>
      <w:r>
        <w:rPr>
          <w:sz w:val="24"/>
          <w:szCs w:val="24"/>
          <w:lang w:val="en-GB"/>
        </w:rPr>
        <w:t>_______________________________</w:t>
      </w:r>
    </w:p>
    <w:p w:rsidR="00614D33" w:rsidRDefault="00614D33" w:rsidP="00C12B63">
      <w:pPr>
        <w:jc w:val="both"/>
        <w:rPr>
          <w:b/>
          <w:bCs/>
          <w:sz w:val="24"/>
          <w:szCs w:val="24"/>
          <w:lang w:val="en-GB"/>
        </w:rPr>
      </w:pPr>
    </w:p>
    <w:p w:rsidR="00C12B63" w:rsidRPr="0071525C" w:rsidRDefault="00C12B63" w:rsidP="00C12B63">
      <w:pPr>
        <w:jc w:val="both"/>
        <w:rPr>
          <w:rFonts w:ascii="Arial" w:hAnsi="Arial" w:cs="Arial"/>
          <w:b/>
          <w:bCs/>
          <w:sz w:val="32"/>
          <w:szCs w:val="32"/>
          <w:lang w:val="en-GB"/>
        </w:rPr>
      </w:pPr>
      <w:r w:rsidRPr="0071525C">
        <w:rPr>
          <w:rFonts w:ascii="Arial" w:hAnsi="Arial" w:cs="Arial"/>
          <w:b/>
          <w:bCs/>
          <w:sz w:val="32"/>
          <w:szCs w:val="32"/>
          <w:lang w:val="en-GB"/>
        </w:rPr>
        <w:t>Part B. Narrative Data and Tables</w:t>
      </w:r>
    </w:p>
    <w:p w:rsidR="0071525C" w:rsidRPr="0071525C" w:rsidRDefault="0071525C" w:rsidP="0071525C">
      <w:pPr>
        <w:pStyle w:val="NoSpacing"/>
        <w:ind w:left="720" w:hanging="720"/>
        <w:jc w:val="both"/>
        <w:rPr>
          <w:rFonts w:ascii="Arial" w:hAnsi="Arial" w:cs="Arial"/>
          <w:b/>
          <w:sz w:val="24"/>
          <w:szCs w:val="24"/>
        </w:rPr>
      </w:pPr>
      <w:r w:rsidRPr="0071525C">
        <w:rPr>
          <w:rFonts w:ascii="Arial" w:hAnsi="Arial" w:cs="Arial"/>
          <w:b/>
          <w:sz w:val="24"/>
          <w:szCs w:val="24"/>
        </w:rPr>
        <w:t>CE.1</w:t>
      </w:r>
      <w:r w:rsidRPr="0071525C">
        <w:rPr>
          <w:rFonts w:ascii="Arial" w:hAnsi="Arial" w:cs="Arial"/>
          <w:b/>
          <w:sz w:val="24"/>
          <w:szCs w:val="24"/>
        </w:rPr>
        <w:tab/>
        <w:t xml:space="preserve">The nutrition programme should provide education programmes, conferences, and/or workshops for the continuing professional education (CPE) of its graduates, faculty, preceptors, and staff. Where appropriate such activities should be done in consultation and cooperation with national and regional authorities to satisfy professional practice requirements. </w:t>
      </w:r>
    </w:p>
    <w:p w:rsidR="0071525C" w:rsidRDefault="0071525C" w:rsidP="0071525C">
      <w:pPr>
        <w:rPr>
          <w:szCs w:val="24"/>
          <w:lang w:val="en-GB"/>
        </w:rPr>
      </w:pPr>
      <w:r>
        <w:rPr>
          <w:szCs w:val="24"/>
          <w:lang w:val="en-GB"/>
        </w:rPr>
        <w:t>____________________________________________________________________________________</w:t>
      </w:r>
    </w:p>
    <w:p w:rsidR="0071525C" w:rsidRDefault="00A24625" w:rsidP="00A24625">
      <w:pPr>
        <w:pStyle w:val="NoSpacing"/>
        <w:numPr>
          <w:ilvl w:val="0"/>
          <w:numId w:val="21"/>
        </w:numPr>
        <w:jc w:val="both"/>
        <w:rPr>
          <w:rFonts w:asciiTheme="minorHAnsi" w:hAnsiTheme="minorHAnsi" w:cs="Arial"/>
          <w:sz w:val="24"/>
          <w:szCs w:val="24"/>
        </w:rPr>
      </w:pPr>
      <w:r w:rsidRPr="00A24625">
        <w:rPr>
          <w:rFonts w:asciiTheme="minorHAnsi" w:hAnsiTheme="minorHAnsi" w:cs="Arial"/>
          <w:sz w:val="24"/>
          <w:szCs w:val="24"/>
        </w:rPr>
        <w:t xml:space="preserve">List the general objectives of the institution’s continuing professional education </w:t>
      </w:r>
      <w:r w:rsidRPr="004E2113">
        <w:rPr>
          <w:rFonts w:asciiTheme="minorHAnsi" w:hAnsiTheme="minorHAnsi" w:cs="Arial"/>
          <w:sz w:val="24"/>
          <w:szCs w:val="24"/>
        </w:rPr>
        <w:t>pr</w:t>
      </w:r>
      <w:r w:rsidR="008556D8" w:rsidRPr="004E2113">
        <w:rPr>
          <w:rFonts w:asciiTheme="minorHAnsi" w:hAnsiTheme="minorHAnsi" w:cs="Arial"/>
          <w:sz w:val="24"/>
          <w:szCs w:val="24"/>
        </w:rPr>
        <w:t>o</w:t>
      </w:r>
      <w:r w:rsidRPr="004E2113">
        <w:rPr>
          <w:rFonts w:asciiTheme="minorHAnsi" w:hAnsiTheme="minorHAnsi" w:cs="Arial"/>
          <w:sz w:val="24"/>
          <w:szCs w:val="24"/>
        </w:rPr>
        <w:t>grammes</w:t>
      </w:r>
      <w:r w:rsidRPr="00A24625">
        <w:rPr>
          <w:rFonts w:asciiTheme="minorHAnsi" w:hAnsiTheme="minorHAnsi" w:cs="Arial"/>
          <w:sz w:val="24"/>
          <w:szCs w:val="24"/>
        </w:rPr>
        <w:t>.</w:t>
      </w:r>
    </w:p>
    <w:p w:rsidR="000C163F" w:rsidRDefault="000C163F" w:rsidP="000C163F">
      <w:pPr>
        <w:pStyle w:val="NoSpacing"/>
        <w:ind w:left="360"/>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Default="000C163F" w:rsidP="000C163F">
      <w:pPr>
        <w:pStyle w:val="NoSpacing"/>
        <w:ind w:left="360"/>
        <w:jc w:val="both"/>
        <w:rPr>
          <w:rFonts w:asciiTheme="minorHAnsi" w:hAnsiTheme="minorHAnsi" w:cs="Arial"/>
          <w:sz w:val="24"/>
          <w:szCs w:val="24"/>
        </w:rPr>
      </w:pPr>
    </w:p>
    <w:p w:rsidR="000C163F" w:rsidRDefault="000C163F" w:rsidP="000C163F">
      <w:pPr>
        <w:pStyle w:val="NoSpacing"/>
        <w:ind w:left="360"/>
        <w:jc w:val="both"/>
        <w:rPr>
          <w:rFonts w:asciiTheme="minorHAnsi" w:hAnsiTheme="minorHAnsi" w:cs="Arial"/>
          <w:sz w:val="24"/>
          <w:szCs w:val="24"/>
        </w:rPr>
      </w:pPr>
    </w:p>
    <w:p w:rsidR="000C163F" w:rsidRDefault="000C163F" w:rsidP="000C163F">
      <w:pPr>
        <w:pStyle w:val="NoSpacing"/>
        <w:ind w:left="360"/>
        <w:jc w:val="both"/>
        <w:rPr>
          <w:rFonts w:asciiTheme="minorHAnsi" w:hAnsiTheme="minorHAnsi" w:cs="Arial"/>
          <w:sz w:val="24"/>
          <w:szCs w:val="24"/>
        </w:rPr>
      </w:pPr>
    </w:p>
    <w:p w:rsidR="000C163F" w:rsidRPr="00A24625" w:rsidRDefault="000C163F" w:rsidP="000C163F">
      <w:pPr>
        <w:pStyle w:val="NoSpacing"/>
        <w:ind w:left="360"/>
        <w:jc w:val="both"/>
        <w:rPr>
          <w:rFonts w:asciiTheme="minorHAnsi" w:hAnsiTheme="minorHAnsi" w:cs="Arial"/>
          <w:sz w:val="24"/>
          <w:szCs w:val="24"/>
        </w:rPr>
      </w:pPr>
    </w:p>
    <w:p w:rsidR="00A24625" w:rsidRDefault="00A24625" w:rsidP="00A24625">
      <w:pPr>
        <w:pStyle w:val="NoSpacing"/>
        <w:numPr>
          <w:ilvl w:val="0"/>
          <w:numId w:val="21"/>
        </w:numPr>
        <w:jc w:val="both"/>
        <w:rPr>
          <w:rFonts w:asciiTheme="minorHAnsi" w:hAnsiTheme="minorHAnsi" w:cs="Arial"/>
          <w:sz w:val="24"/>
          <w:szCs w:val="24"/>
        </w:rPr>
      </w:pPr>
      <w:r w:rsidRPr="00A24625">
        <w:rPr>
          <w:rFonts w:asciiTheme="minorHAnsi" w:hAnsiTheme="minorHAnsi" w:cs="Arial"/>
          <w:sz w:val="24"/>
          <w:szCs w:val="24"/>
        </w:rPr>
        <w:lastRenderedPageBreak/>
        <w:t xml:space="preserve">Indicate the year in which they </w:t>
      </w:r>
      <w:r w:rsidR="004E2113">
        <w:rPr>
          <w:rFonts w:asciiTheme="minorHAnsi" w:hAnsiTheme="minorHAnsi" w:cs="Arial"/>
          <w:sz w:val="24"/>
          <w:szCs w:val="24"/>
        </w:rPr>
        <w:t>we</w:t>
      </w:r>
      <w:r w:rsidRPr="00A24625">
        <w:rPr>
          <w:rFonts w:asciiTheme="minorHAnsi" w:hAnsiTheme="minorHAnsi" w:cs="Arial"/>
          <w:sz w:val="24"/>
          <w:szCs w:val="24"/>
        </w:rPr>
        <w:t>re most recently reviewed.</w:t>
      </w:r>
    </w:p>
    <w:p w:rsidR="000C163F" w:rsidRDefault="000C163F" w:rsidP="000C163F">
      <w:pPr>
        <w:pStyle w:val="NoSpacing"/>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A24625" w:rsidRDefault="000C163F" w:rsidP="000C163F">
      <w:pPr>
        <w:pStyle w:val="NoSpacing"/>
        <w:jc w:val="both"/>
        <w:rPr>
          <w:rFonts w:asciiTheme="minorHAnsi" w:hAnsiTheme="minorHAnsi" w:cs="Arial"/>
          <w:sz w:val="24"/>
          <w:szCs w:val="24"/>
        </w:rPr>
      </w:pPr>
    </w:p>
    <w:p w:rsidR="00A24625" w:rsidRDefault="00A24625" w:rsidP="00A24625">
      <w:pPr>
        <w:pStyle w:val="NoSpacing"/>
        <w:numPr>
          <w:ilvl w:val="0"/>
          <w:numId w:val="21"/>
        </w:numPr>
        <w:jc w:val="both"/>
        <w:rPr>
          <w:rFonts w:asciiTheme="minorHAnsi" w:hAnsiTheme="minorHAnsi" w:cs="Arial"/>
          <w:sz w:val="24"/>
          <w:szCs w:val="24"/>
        </w:rPr>
      </w:pPr>
      <w:r w:rsidRPr="00A24625">
        <w:rPr>
          <w:rFonts w:asciiTheme="minorHAnsi" w:hAnsiTheme="minorHAnsi" w:cs="Arial"/>
          <w:sz w:val="24"/>
          <w:szCs w:val="24"/>
        </w:rPr>
        <w:t xml:space="preserve">Are the CPE activities carried out in consultation and cooperation with national or regional </w:t>
      </w:r>
      <w:r>
        <w:rPr>
          <w:rFonts w:asciiTheme="minorHAnsi" w:hAnsiTheme="minorHAnsi" w:cs="Arial"/>
          <w:sz w:val="24"/>
          <w:szCs w:val="24"/>
        </w:rPr>
        <w:t>authoriti</w:t>
      </w:r>
      <w:r w:rsidRPr="00A24625">
        <w:rPr>
          <w:rFonts w:asciiTheme="minorHAnsi" w:hAnsiTheme="minorHAnsi" w:cs="Arial"/>
          <w:sz w:val="24"/>
          <w:szCs w:val="24"/>
        </w:rPr>
        <w:t>es?  If yes, give a description of how this is done.  Please provide documentary evidence.</w:t>
      </w:r>
    </w:p>
    <w:p w:rsidR="000C163F" w:rsidRDefault="000C163F" w:rsidP="000C163F">
      <w:pPr>
        <w:pStyle w:val="NoSpacing"/>
        <w:ind w:left="360"/>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A24625" w:rsidRDefault="000C163F" w:rsidP="000C163F">
      <w:pPr>
        <w:pStyle w:val="NoSpacing"/>
        <w:ind w:left="360"/>
        <w:jc w:val="both"/>
        <w:rPr>
          <w:rFonts w:asciiTheme="minorHAnsi" w:hAnsiTheme="minorHAnsi" w:cs="Arial"/>
          <w:sz w:val="24"/>
          <w:szCs w:val="24"/>
        </w:rPr>
      </w:pPr>
    </w:p>
    <w:p w:rsidR="00A24625" w:rsidRDefault="00A24625" w:rsidP="00A24625">
      <w:pPr>
        <w:pStyle w:val="NoSpacing"/>
        <w:numPr>
          <w:ilvl w:val="0"/>
          <w:numId w:val="21"/>
        </w:numPr>
        <w:jc w:val="both"/>
        <w:rPr>
          <w:rFonts w:asciiTheme="minorHAnsi" w:hAnsiTheme="minorHAnsi" w:cs="Arial"/>
          <w:sz w:val="24"/>
          <w:szCs w:val="24"/>
        </w:rPr>
      </w:pPr>
      <w:r w:rsidRPr="00A24625">
        <w:rPr>
          <w:rFonts w:asciiTheme="minorHAnsi" w:hAnsiTheme="minorHAnsi" w:cs="Arial"/>
          <w:sz w:val="24"/>
          <w:szCs w:val="24"/>
        </w:rPr>
        <w:t xml:space="preserve">How does the school ensure that </w:t>
      </w:r>
      <w:r>
        <w:rPr>
          <w:rFonts w:asciiTheme="minorHAnsi" w:hAnsiTheme="minorHAnsi" w:cs="Arial"/>
          <w:sz w:val="24"/>
          <w:szCs w:val="24"/>
        </w:rPr>
        <w:t>the licensing requirements of the licensing authority are me</w:t>
      </w:r>
      <w:r w:rsidRPr="00A24625">
        <w:rPr>
          <w:rFonts w:asciiTheme="minorHAnsi" w:hAnsiTheme="minorHAnsi" w:cs="Arial"/>
          <w:sz w:val="24"/>
          <w:szCs w:val="24"/>
        </w:rPr>
        <w:t>t in the continuing education programme</w:t>
      </w:r>
      <w:r>
        <w:rPr>
          <w:rFonts w:asciiTheme="minorHAnsi" w:hAnsiTheme="minorHAnsi" w:cs="Arial"/>
          <w:sz w:val="24"/>
          <w:szCs w:val="24"/>
        </w:rPr>
        <w:t>s</w:t>
      </w:r>
      <w:r w:rsidRPr="00A24625">
        <w:rPr>
          <w:rFonts w:asciiTheme="minorHAnsi" w:hAnsiTheme="minorHAnsi" w:cs="Arial"/>
          <w:sz w:val="24"/>
          <w:szCs w:val="24"/>
        </w:rPr>
        <w:t xml:space="preserve"> offered?</w:t>
      </w:r>
    </w:p>
    <w:p w:rsidR="00A24625" w:rsidRPr="00A24625" w:rsidRDefault="00A24625" w:rsidP="00A24625">
      <w:pPr>
        <w:pStyle w:val="NoSpacing"/>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A24625" w:rsidRPr="0071525C" w:rsidRDefault="00A24625" w:rsidP="0071525C">
      <w:pPr>
        <w:pStyle w:val="NoSpacing"/>
        <w:ind w:left="720" w:hanging="720"/>
        <w:jc w:val="both"/>
        <w:rPr>
          <w:rFonts w:ascii="Arial" w:hAnsi="Arial" w:cs="Arial"/>
          <w:b/>
          <w:sz w:val="24"/>
          <w:szCs w:val="24"/>
        </w:rPr>
      </w:pPr>
    </w:p>
    <w:p w:rsidR="0071525C" w:rsidRPr="0071525C" w:rsidRDefault="0071525C" w:rsidP="0071525C">
      <w:pPr>
        <w:pStyle w:val="NoSpacing"/>
        <w:pBdr>
          <w:bottom w:val="single" w:sz="12" w:space="1" w:color="auto"/>
        </w:pBdr>
        <w:ind w:left="720" w:hanging="720"/>
        <w:jc w:val="both"/>
        <w:rPr>
          <w:rFonts w:ascii="Arial" w:hAnsi="Arial" w:cs="Arial"/>
          <w:b/>
          <w:sz w:val="24"/>
          <w:szCs w:val="24"/>
        </w:rPr>
      </w:pPr>
      <w:r w:rsidRPr="0071525C">
        <w:rPr>
          <w:rFonts w:ascii="Arial" w:hAnsi="Arial" w:cs="Arial"/>
          <w:b/>
          <w:sz w:val="24"/>
          <w:szCs w:val="24"/>
        </w:rPr>
        <w:t>CE.2</w:t>
      </w:r>
      <w:r w:rsidRPr="0071525C">
        <w:rPr>
          <w:rFonts w:ascii="Arial" w:hAnsi="Arial" w:cs="Arial"/>
          <w:b/>
          <w:sz w:val="24"/>
          <w:szCs w:val="24"/>
        </w:rPr>
        <w:tab/>
        <w:t>Continuing professional education (CPE) programmes should have the organisational structure and resources necessary to provide programmes and activities of acceptable educational quality and promote quality of care through self-evaluation conducted according to standards and criteria developed by the programme in keeping with any national, regional, and international standards.</w:t>
      </w:r>
    </w:p>
    <w:p w:rsidR="00C34D79" w:rsidRDefault="00C34D79" w:rsidP="00C34D79">
      <w:pPr>
        <w:rPr>
          <w:szCs w:val="24"/>
          <w:lang w:val="en-GB"/>
        </w:rPr>
      </w:pPr>
    </w:p>
    <w:p w:rsidR="00A24625" w:rsidRPr="00C34D79" w:rsidRDefault="00A24625" w:rsidP="00C34D79">
      <w:pPr>
        <w:pStyle w:val="ListParagraph"/>
        <w:numPr>
          <w:ilvl w:val="0"/>
          <w:numId w:val="23"/>
        </w:numPr>
        <w:rPr>
          <w:szCs w:val="24"/>
          <w:lang w:val="en-GB"/>
        </w:rPr>
      </w:pPr>
      <w:r w:rsidRPr="00C34D79">
        <w:rPr>
          <w:rFonts w:cs="Arial"/>
          <w:sz w:val="24"/>
          <w:szCs w:val="24"/>
        </w:rPr>
        <w:t>Describe how the standards and criteria for continuing professional education programme are made known to:</w:t>
      </w:r>
    </w:p>
    <w:p w:rsidR="00A24625" w:rsidRPr="00C34D79" w:rsidRDefault="00A24625" w:rsidP="00C34D79">
      <w:pPr>
        <w:pStyle w:val="NoSpacing"/>
        <w:numPr>
          <w:ilvl w:val="0"/>
          <w:numId w:val="25"/>
        </w:numPr>
        <w:jc w:val="both"/>
        <w:rPr>
          <w:rFonts w:asciiTheme="minorHAnsi" w:hAnsiTheme="minorHAnsi" w:cs="Arial"/>
          <w:sz w:val="24"/>
          <w:szCs w:val="24"/>
        </w:rPr>
      </w:pPr>
      <w:r w:rsidRPr="00C34D79">
        <w:rPr>
          <w:rFonts w:asciiTheme="minorHAnsi" w:hAnsiTheme="minorHAnsi" w:cs="Arial"/>
          <w:sz w:val="24"/>
          <w:szCs w:val="24"/>
        </w:rPr>
        <w:t xml:space="preserve">Graduates and other </w:t>
      </w:r>
      <w:r w:rsidRPr="004E2113">
        <w:rPr>
          <w:rFonts w:asciiTheme="minorHAnsi" w:hAnsiTheme="minorHAnsi" w:cs="Arial"/>
          <w:sz w:val="24"/>
          <w:szCs w:val="24"/>
        </w:rPr>
        <w:t>pract</w:t>
      </w:r>
      <w:r w:rsidR="008556D8" w:rsidRPr="004E2113">
        <w:rPr>
          <w:rFonts w:asciiTheme="minorHAnsi" w:hAnsiTheme="minorHAnsi" w:cs="Arial"/>
          <w:sz w:val="24"/>
          <w:szCs w:val="24"/>
        </w:rPr>
        <w:t>it</w:t>
      </w:r>
      <w:r w:rsidRPr="004E2113">
        <w:rPr>
          <w:rFonts w:asciiTheme="minorHAnsi" w:hAnsiTheme="minorHAnsi" w:cs="Arial"/>
          <w:sz w:val="24"/>
          <w:szCs w:val="24"/>
        </w:rPr>
        <w:t>ioners</w:t>
      </w:r>
    </w:p>
    <w:p w:rsidR="00A24625" w:rsidRPr="00C34D79" w:rsidRDefault="00A24625" w:rsidP="00C34D79">
      <w:pPr>
        <w:pStyle w:val="NoSpacing"/>
        <w:numPr>
          <w:ilvl w:val="0"/>
          <w:numId w:val="25"/>
        </w:numPr>
        <w:jc w:val="both"/>
        <w:rPr>
          <w:rFonts w:asciiTheme="minorHAnsi" w:hAnsiTheme="minorHAnsi" w:cs="Arial"/>
          <w:sz w:val="24"/>
          <w:szCs w:val="24"/>
        </w:rPr>
      </w:pPr>
      <w:r w:rsidRPr="00C34D79">
        <w:rPr>
          <w:rFonts w:asciiTheme="minorHAnsi" w:hAnsiTheme="minorHAnsi" w:cs="Arial"/>
          <w:sz w:val="24"/>
          <w:szCs w:val="24"/>
        </w:rPr>
        <w:t xml:space="preserve">Instructional </w:t>
      </w:r>
      <w:r w:rsidR="00C34D79" w:rsidRPr="00C34D79">
        <w:rPr>
          <w:rFonts w:asciiTheme="minorHAnsi" w:hAnsiTheme="minorHAnsi" w:cs="Arial"/>
          <w:sz w:val="24"/>
          <w:szCs w:val="24"/>
        </w:rPr>
        <w:t>staff, including full-time and part-time</w:t>
      </w:r>
    </w:p>
    <w:p w:rsidR="00C34D79" w:rsidRDefault="00C34D79" w:rsidP="00C34D79">
      <w:pPr>
        <w:pStyle w:val="NoSpacing"/>
        <w:numPr>
          <w:ilvl w:val="0"/>
          <w:numId w:val="25"/>
        </w:numPr>
        <w:jc w:val="both"/>
        <w:rPr>
          <w:rFonts w:asciiTheme="minorHAnsi" w:hAnsiTheme="minorHAnsi" w:cs="Arial"/>
          <w:sz w:val="24"/>
          <w:szCs w:val="24"/>
        </w:rPr>
      </w:pPr>
      <w:r w:rsidRPr="00C34D79">
        <w:rPr>
          <w:rFonts w:asciiTheme="minorHAnsi" w:hAnsiTheme="minorHAnsi" w:cs="Arial"/>
          <w:sz w:val="24"/>
          <w:szCs w:val="24"/>
        </w:rPr>
        <w:t>National and regional authorities</w:t>
      </w:r>
    </w:p>
    <w:p w:rsidR="00C34D79" w:rsidRDefault="00C34D79" w:rsidP="000C163F">
      <w:pPr>
        <w:pStyle w:val="NoSpacing"/>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C34D79" w:rsidRDefault="000C163F" w:rsidP="000C163F">
      <w:pPr>
        <w:pStyle w:val="NoSpacing"/>
        <w:jc w:val="both"/>
        <w:rPr>
          <w:rFonts w:asciiTheme="minorHAnsi" w:hAnsiTheme="minorHAnsi" w:cs="Arial"/>
          <w:sz w:val="24"/>
          <w:szCs w:val="24"/>
        </w:rPr>
      </w:pPr>
    </w:p>
    <w:p w:rsidR="00C34D79" w:rsidRDefault="00C34D79" w:rsidP="00C34D79">
      <w:pPr>
        <w:pStyle w:val="NoSpacing"/>
        <w:numPr>
          <w:ilvl w:val="0"/>
          <w:numId w:val="23"/>
        </w:numPr>
        <w:jc w:val="both"/>
        <w:rPr>
          <w:rFonts w:asciiTheme="minorHAnsi" w:hAnsiTheme="minorHAnsi" w:cs="Arial"/>
          <w:sz w:val="24"/>
          <w:szCs w:val="24"/>
        </w:rPr>
      </w:pPr>
      <w:r w:rsidRPr="00C34D79">
        <w:rPr>
          <w:rFonts w:asciiTheme="minorHAnsi" w:hAnsiTheme="minorHAnsi" w:cs="Arial"/>
          <w:sz w:val="24"/>
          <w:szCs w:val="24"/>
        </w:rPr>
        <w:t>Describe the organi</w:t>
      </w:r>
      <w:r w:rsidR="004E2113">
        <w:rPr>
          <w:rFonts w:asciiTheme="minorHAnsi" w:hAnsiTheme="minorHAnsi" w:cs="Arial"/>
          <w:sz w:val="24"/>
          <w:szCs w:val="24"/>
        </w:rPr>
        <w:t>s</w:t>
      </w:r>
      <w:r w:rsidRPr="00C34D79">
        <w:rPr>
          <w:rFonts w:asciiTheme="minorHAnsi" w:hAnsiTheme="minorHAnsi" w:cs="Arial"/>
          <w:sz w:val="24"/>
          <w:szCs w:val="24"/>
        </w:rPr>
        <w:t>ational structure of the school’s continuing education programme.  Give the name, title and job description of the academic officer responsible for the management of the programme.</w:t>
      </w:r>
    </w:p>
    <w:p w:rsidR="00C34D79" w:rsidRDefault="00C34D79" w:rsidP="000C163F">
      <w:pPr>
        <w:pStyle w:val="NoSpacing"/>
        <w:ind w:left="360"/>
        <w:jc w:val="both"/>
        <w:rPr>
          <w:rFonts w:asciiTheme="minorHAnsi" w:hAnsiTheme="minorHAnsi" w:cs="Arial"/>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C34D79" w:rsidRDefault="000C163F" w:rsidP="000C163F">
      <w:pPr>
        <w:pStyle w:val="NoSpacing"/>
        <w:ind w:left="360"/>
        <w:jc w:val="both"/>
        <w:rPr>
          <w:rFonts w:asciiTheme="minorHAnsi" w:hAnsiTheme="minorHAnsi" w:cs="Arial"/>
          <w:sz w:val="24"/>
          <w:szCs w:val="24"/>
        </w:rPr>
      </w:pPr>
    </w:p>
    <w:p w:rsidR="00C34D79" w:rsidRDefault="00C34D79" w:rsidP="00C34D79">
      <w:pPr>
        <w:pStyle w:val="NoSpacing"/>
        <w:numPr>
          <w:ilvl w:val="0"/>
          <w:numId w:val="23"/>
        </w:numPr>
        <w:jc w:val="both"/>
        <w:rPr>
          <w:rFonts w:asciiTheme="minorHAnsi" w:hAnsiTheme="minorHAnsi" w:cs="Arial"/>
          <w:b/>
          <w:sz w:val="24"/>
          <w:szCs w:val="24"/>
        </w:rPr>
      </w:pPr>
      <w:r w:rsidRPr="00C34D79">
        <w:rPr>
          <w:rFonts w:asciiTheme="minorHAnsi" w:hAnsiTheme="minorHAnsi" w:cs="Arial"/>
          <w:sz w:val="24"/>
          <w:szCs w:val="24"/>
        </w:rPr>
        <w:t>What resources are provide</w:t>
      </w:r>
      <w:r>
        <w:rPr>
          <w:rFonts w:asciiTheme="minorHAnsi" w:hAnsiTheme="minorHAnsi" w:cs="Arial"/>
          <w:sz w:val="24"/>
          <w:szCs w:val="24"/>
        </w:rPr>
        <w:t>d</w:t>
      </w:r>
      <w:r w:rsidRPr="00C34D79">
        <w:rPr>
          <w:rFonts w:asciiTheme="minorHAnsi" w:hAnsiTheme="minorHAnsi" w:cs="Arial"/>
          <w:sz w:val="24"/>
          <w:szCs w:val="24"/>
        </w:rPr>
        <w:t xml:space="preserve"> by the school to support/ facilitate the CPE activities? How does the school ensure and monitor the educational quality of these activities?</w:t>
      </w:r>
    </w:p>
    <w:p w:rsidR="00C34D79" w:rsidRDefault="00C34D79" w:rsidP="00C34D79">
      <w:pPr>
        <w:pStyle w:val="NoSpacing"/>
        <w:ind w:firstLine="48"/>
        <w:jc w:val="both"/>
        <w:rPr>
          <w:rFonts w:asciiTheme="minorHAnsi" w:hAnsiTheme="minorHAnsi" w:cs="Arial"/>
          <w:b/>
          <w:sz w:val="24"/>
          <w:szCs w:val="24"/>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C34D79" w:rsidRDefault="000C163F" w:rsidP="00C34D79">
      <w:pPr>
        <w:pStyle w:val="NoSpacing"/>
        <w:ind w:firstLine="48"/>
        <w:jc w:val="both"/>
        <w:rPr>
          <w:rFonts w:asciiTheme="minorHAnsi" w:hAnsiTheme="minorHAnsi" w:cs="Arial"/>
          <w:b/>
          <w:sz w:val="24"/>
          <w:szCs w:val="24"/>
        </w:rPr>
      </w:pPr>
    </w:p>
    <w:p w:rsidR="0071525C" w:rsidRPr="0071525C" w:rsidRDefault="0071525C" w:rsidP="0071525C">
      <w:pPr>
        <w:pStyle w:val="NoSpacing"/>
        <w:ind w:left="720" w:hanging="720"/>
        <w:jc w:val="both"/>
        <w:rPr>
          <w:rFonts w:ascii="Arial" w:hAnsi="Arial" w:cs="Arial"/>
          <w:b/>
          <w:sz w:val="24"/>
          <w:szCs w:val="24"/>
        </w:rPr>
      </w:pPr>
      <w:r w:rsidRPr="0071525C">
        <w:rPr>
          <w:rFonts w:ascii="Arial" w:hAnsi="Arial" w:cs="Arial"/>
          <w:b/>
          <w:sz w:val="24"/>
          <w:szCs w:val="24"/>
        </w:rPr>
        <w:t>CE.3</w:t>
      </w:r>
      <w:r w:rsidRPr="0071525C">
        <w:rPr>
          <w:rFonts w:ascii="Arial" w:hAnsi="Arial" w:cs="Arial"/>
          <w:b/>
          <w:sz w:val="24"/>
          <w:szCs w:val="24"/>
        </w:rPr>
        <w:tab/>
        <w:t>The nutrition programme should provide opportunities for research and scholarly activity and the promulgation of the results of such work to the faculty, staff, students, and the nutrition and dietetics profession.</w:t>
      </w:r>
    </w:p>
    <w:p w:rsidR="0071525C" w:rsidRPr="00947B98" w:rsidRDefault="000C163F" w:rsidP="004E2113">
      <w:pPr>
        <w:pStyle w:val="Heading1"/>
        <w:numPr>
          <w:ilvl w:val="0"/>
          <w:numId w:val="30"/>
        </w:numPr>
      </w:pPr>
      <w:r w:rsidRPr="00947B98">
        <w:t>Describe the opportunities for research and scholarly activities provided for faculty, staff, students and others in the nutrition and dietetics profession.</w:t>
      </w:r>
    </w:p>
    <w:p w:rsidR="000C163F" w:rsidRDefault="000C163F" w:rsidP="000C163F"/>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0C163F" w:rsidRDefault="000C163F" w:rsidP="000C163F"/>
    <w:p w:rsidR="000C163F" w:rsidRDefault="000C163F" w:rsidP="004E2113">
      <w:pPr>
        <w:pStyle w:val="ListParagraph"/>
        <w:numPr>
          <w:ilvl w:val="0"/>
          <w:numId w:val="30"/>
        </w:numPr>
      </w:pPr>
      <w:r w:rsidRPr="000C163F">
        <w:t>How are research and other scholarly activities promulgated by the institution?</w:t>
      </w: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B974D4" w:rsidRDefault="000C163F" w:rsidP="000C163F">
      <w:pPr>
        <w:shd w:val="clear" w:color="auto" w:fill="DFECEB" w:themeFill="accent6" w:themeFillTint="33"/>
        <w:spacing w:after="120"/>
        <w:jc w:val="both"/>
        <w:rPr>
          <w:rFonts w:ascii="Bookman Old Style" w:hAnsi="Bookman Old Style"/>
          <w:color w:val="1C6194" w:themeColor="accent2" w:themeShade="BF"/>
          <w:lang w:val="en-GB"/>
        </w:rPr>
      </w:pPr>
    </w:p>
    <w:p w:rsidR="000C163F" w:rsidRPr="000C163F" w:rsidRDefault="000C163F" w:rsidP="000C163F">
      <w:pPr>
        <w:ind w:left="360"/>
      </w:pPr>
    </w:p>
    <w:p w:rsidR="0071525C" w:rsidRPr="0071525C" w:rsidRDefault="0071525C" w:rsidP="0071525C">
      <w:pPr>
        <w:pStyle w:val="NoSpacing"/>
        <w:widowControl/>
        <w:numPr>
          <w:ilvl w:val="0"/>
          <w:numId w:val="19"/>
        </w:numPr>
        <w:tabs>
          <w:tab w:val="left" w:pos="1260"/>
        </w:tabs>
        <w:autoSpaceDE/>
        <w:autoSpaceDN/>
        <w:adjustRightInd/>
        <w:ind w:firstLine="0"/>
        <w:jc w:val="both"/>
        <w:rPr>
          <w:rFonts w:asciiTheme="minorHAnsi" w:hAnsiTheme="minorHAnsi" w:cs="Arial"/>
          <w:i/>
          <w:sz w:val="24"/>
          <w:szCs w:val="24"/>
        </w:rPr>
      </w:pPr>
      <w:r w:rsidRPr="0071525C">
        <w:rPr>
          <w:rFonts w:asciiTheme="minorHAnsi" w:hAnsiTheme="minorHAnsi" w:cs="Arial"/>
          <w:i/>
          <w:sz w:val="24"/>
          <w:szCs w:val="24"/>
        </w:rPr>
        <w:t>Assessment and Registration Examinations</w:t>
      </w:r>
    </w:p>
    <w:p w:rsidR="0071525C" w:rsidRPr="0071525C" w:rsidRDefault="0071525C" w:rsidP="0071525C">
      <w:pPr>
        <w:ind w:left="720"/>
        <w:rPr>
          <w:szCs w:val="24"/>
          <w:lang w:val="en-GB"/>
        </w:rPr>
      </w:pPr>
      <w:r w:rsidRPr="0071525C">
        <w:rPr>
          <w:szCs w:val="24"/>
          <w:lang w:val="en-GB"/>
        </w:rPr>
        <w:t>_____________________________________________________________________________</w:t>
      </w:r>
    </w:p>
    <w:p w:rsidR="0071525C" w:rsidRPr="0071525C" w:rsidRDefault="0071525C" w:rsidP="0071525C">
      <w:pPr>
        <w:pStyle w:val="NoSpacing"/>
        <w:jc w:val="both"/>
        <w:rPr>
          <w:rFonts w:ascii="Arial" w:hAnsi="Arial" w:cs="Arial"/>
          <w:b/>
          <w:sz w:val="24"/>
          <w:szCs w:val="24"/>
        </w:rPr>
      </w:pPr>
    </w:p>
    <w:p w:rsidR="0071525C" w:rsidRPr="0071525C" w:rsidRDefault="0071525C" w:rsidP="0071525C">
      <w:pPr>
        <w:pStyle w:val="NoSpacing"/>
        <w:ind w:left="720" w:hanging="720"/>
        <w:jc w:val="both"/>
        <w:rPr>
          <w:rFonts w:ascii="Arial" w:hAnsi="Arial" w:cs="Arial"/>
          <w:b/>
          <w:sz w:val="24"/>
          <w:szCs w:val="24"/>
        </w:rPr>
      </w:pPr>
      <w:r w:rsidRPr="0071525C">
        <w:rPr>
          <w:rFonts w:ascii="Arial" w:hAnsi="Arial" w:cs="Arial"/>
          <w:b/>
          <w:sz w:val="24"/>
          <w:szCs w:val="24"/>
        </w:rPr>
        <w:t>CE.4</w:t>
      </w:r>
      <w:r w:rsidRPr="0071525C">
        <w:rPr>
          <w:rFonts w:ascii="Arial" w:hAnsi="Arial" w:cs="Arial"/>
          <w:b/>
          <w:sz w:val="24"/>
          <w:szCs w:val="24"/>
        </w:rPr>
        <w:tab/>
        <w:t>A comprehensive assessment exam at the end of the supervised practice shall be given as a requirement of successful completion of the nutrition programme.</w:t>
      </w:r>
    </w:p>
    <w:p w:rsidR="0071525C" w:rsidRPr="0071525C" w:rsidRDefault="0071525C" w:rsidP="0071525C">
      <w:pPr>
        <w:pStyle w:val="NoSpacing"/>
        <w:ind w:left="720" w:hanging="720"/>
        <w:jc w:val="both"/>
        <w:rPr>
          <w:rFonts w:ascii="Arial" w:hAnsi="Arial" w:cs="Arial"/>
          <w:b/>
          <w:sz w:val="24"/>
          <w:szCs w:val="24"/>
        </w:rPr>
      </w:pPr>
    </w:p>
    <w:p w:rsidR="0071525C" w:rsidRDefault="0071525C" w:rsidP="0071525C">
      <w:pPr>
        <w:pStyle w:val="NoSpacing"/>
        <w:ind w:left="1440"/>
        <w:jc w:val="both"/>
        <w:rPr>
          <w:rFonts w:asciiTheme="minorHAnsi" w:hAnsiTheme="minorHAnsi" w:cs="Arial"/>
          <w:i/>
          <w:sz w:val="24"/>
          <w:szCs w:val="24"/>
        </w:rPr>
      </w:pPr>
      <w:r w:rsidRPr="0071525C">
        <w:rPr>
          <w:rFonts w:asciiTheme="minorHAnsi" w:hAnsiTheme="minorHAnsi" w:cs="Arial"/>
          <w:i/>
          <w:sz w:val="24"/>
          <w:szCs w:val="24"/>
        </w:rPr>
        <w:t>Nutrition programmes should be prepared to work in collaboration with national and regional authorities in setting a comprehensive registration exam to evaluate the ability of graduates entering professional practice as dietitians.</w:t>
      </w:r>
    </w:p>
    <w:p w:rsidR="004B403C" w:rsidRPr="0071525C" w:rsidRDefault="004B403C" w:rsidP="0071525C">
      <w:pPr>
        <w:pStyle w:val="NoSpacing"/>
        <w:ind w:left="1440"/>
        <w:jc w:val="both"/>
        <w:rPr>
          <w:rFonts w:asciiTheme="minorHAnsi" w:hAnsiTheme="minorHAnsi" w:cs="Arial"/>
          <w:i/>
          <w:sz w:val="24"/>
          <w:szCs w:val="24"/>
        </w:rPr>
      </w:pPr>
    </w:p>
    <w:p w:rsidR="0071525C" w:rsidRPr="00CB4D52" w:rsidRDefault="004B403C" w:rsidP="00947B98">
      <w:pPr>
        <w:pStyle w:val="NoSpacing"/>
        <w:numPr>
          <w:ilvl w:val="0"/>
          <w:numId w:val="27"/>
        </w:numPr>
        <w:jc w:val="both"/>
      </w:pPr>
      <w:r>
        <w:rPr>
          <w:rFonts w:asciiTheme="minorHAnsi" w:hAnsiTheme="minorHAnsi"/>
          <w:sz w:val="24"/>
          <w:szCs w:val="24"/>
        </w:rPr>
        <w:t>Describe the roles played by national and regional authorities in setting the comprehensive registration examination.</w:t>
      </w:r>
    </w:p>
    <w:p w:rsidR="00947B98" w:rsidRPr="00B974D4" w:rsidRDefault="00947B98" w:rsidP="00947B98">
      <w:pPr>
        <w:shd w:val="clear" w:color="auto" w:fill="DFECEB" w:themeFill="accent6" w:themeFillTint="33"/>
        <w:spacing w:after="120"/>
        <w:jc w:val="both"/>
        <w:rPr>
          <w:rFonts w:ascii="Bookman Old Style" w:hAnsi="Bookman Old Style"/>
          <w:color w:val="1C6194" w:themeColor="accent2" w:themeShade="BF"/>
          <w:lang w:val="en-GB"/>
        </w:rPr>
      </w:pPr>
    </w:p>
    <w:p w:rsidR="00947B98" w:rsidRPr="00B974D4" w:rsidRDefault="00947B98" w:rsidP="00947B98">
      <w:pPr>
        <w:shd w:val="clear" w:color="auto" w:fill="DFECEB" w:themeFill="accent6" w:themeFillTint="33"/>
        <w:spacing w:after="120"/>
        <w:jc w:val="both"/>
        <w:rPr>
          <w:rFonts w:ascii="Bookman Old Style" w:hAnsi="Bookman Old Style"/>
          <w:color w:val="1C6194" w:themeColor="accent2" w:themeShade="BF"/>
          <w:lang w:val="en-GB"/>
        </w:rPr>
      </w:pPr>
    </w:p>
    <w:p w:rsidR="004B403C" w:rsidRPr="004B403C" w:rsidRDefault="004B403C" w:rsidP="004B403C">
      <w:pPr>
        <w:pStyle w:val="NoSpacing"/>
        <w:ind w:left="720"/>
        <w:jc w:val="both"/>
      </w:pPr>
    </w:p>
    <w:p w:rsidR="004B403C" w:rsidRPr="004B403C" w:rsidRDefault="004B403C" w:rsidP="004B403C">
      <w:pPr>
        <w:pStyle w:val="NoSpacing"/>
        <w:ind w:left="720"/>
        <w:jc w:val="both"/>
      </w:pPr>
    </w:p>
    <w:p w:rsidR="004B403C" w:rsidRPr="004B403C" w:rsidRDefault="004B403C" w:rsidP="004B403C">
      <w:pPr>
        <w:pStyle w:val="NoSpacing"/>
        <w:ind w:left="720"/>
        <w:jc w:val="both"/>
      </w:pPr>
    </w:p>
    <w:p w:rsidR="004B403C" w:rsidRPr="004B403C" w:rsidRDefault="004B403C" w:rsidP="004B403C">
      <w:pPr>
        <w:pStyle w:val="NoSpacing"/>
        <w:numPr>
          <w:ilvl w:val="0"/>
          <w:numId w:val="27"/>
        </w:numPr>
        <w:jc w:val="both"/>
      </w:pPr>
      <w:r>
        <w:rPr>
          <w:rFonts w:asciiTheme="minorHAnsi" w:hAnsiTheme="minorHAnsi"/>
          <w:sz w:val="24"/>
          <w:szCs w:val="24"/>
        </w:rPr>
        <w:lastRenderedPageBreak/>
        <w:t>Provide a copy of the school’s regulations for the setting of the comprehensive examination.</w:t>
      </w:r>
    </w:p>
    <w:p w:rsidR="004B403C" w:rsidRPr="00CB4D52" w:rsidRDefault="004B403C" w:rsidP="004B403C">
      <w:pPr>
        <w:pStyle w:val="NoSpacing"/>
        <w:ind w:left="720"/>
        <w:jc w:val="both"/>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F4349" w:rsidRDefault="004F4349" w:rsidP="00947B98">
      <w:pPr>
        <w:rPr>
          <w:b/>
          <w:szCs w:val="24"/>
          <w:lang w:val="en-GB"/>
        </w:rPr>
      </w:pPr>
    </w:p>
    <w:p w:rsidR="004B403C" w:rsidRPr="004B403C" w:rsidRDefault="004B403C" w:rsidP="004B403C">
      <w:pPr>
        <w:pStyle w:val="NoSpacing"/>
        <w:numPr>
          <w:ilvl w:val="0"/>
          <w:numId w:val="27"/>
        </w:numPr>
        <w:jc w:val="both"/>
      </w:pPr>
      <w:r>
        <w:rPr>
          <w:rFonts w:asciiTheme="minorHAnsi" w:hAnsiTheme="minorHAnsi"/>
          <w:sz w:val="24"/>
          <w:szCs w:val="24"/>
        </w:rPr>
        <w:t>List the examiners appointed for the last two years.</w:t>
      </w:r>
    </w:p>
    <w:p w:rsidR="004B403C" w:rsidRPr="00CB4D52" w:rsidRDefault="004B403C" w:rsidP="004B403C">
      <w:pPr>
        <w:pStyle w:val="NoSpacing"/>
        <w:ind w:left="720"/>
        <w:jc w:val="both"/>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B403C" w:rsidRDefault="004B403C" w:rsidP="00947B98">
      <w:pPr>
        <w:rPr>
          <w:b/>
          <w:szCs w:val="24"/>
          <w:lang w:val="en-GB"/>
        </w:rPr>
      </w:pPr>
    </w:p>
    <w:p w:rsidR="004B403C" w:rsidRPr="004B403C" w:rsidRDefault="004B403C" w:rsidP="004B403C">
      <w:pPr>
        <w:pStyle w:val="NoSpacing"/>
        <w:numPr>
          <w:ilvl w:val="0"/>
          <w:numId w:val="27"/>
        </w:numPr>
        <w:jc w:val="both"/>
      </w:pPr>
      <w:r>
        <w:rPr>
          <w:rFonts w:asciiTheme="minorHAnsi" w:hAnsiTheme="minorHAnsi"/>
          <w:sz w:val="24"/>
          <w:szCs w:val="24"/>
        </w:rPr>
        <w:t xml:space="preserve">Describe the measures used to ensure then </w:t>
      </w:r>
      <w:r w:rsidR="008556D8" w:rsidRPr="0017063C">
        <w:rPr>
          <w:rFonts w:asciiTheme="minorHAnsi" w:hAnsiTheme="minorHAnsi"/>
          <w:sz w:val="24"/>
          <w:szCs w:val="24"/>
        </w:rPr>
        <w:t>integr</w:t>
      </w:r>
      <w:r w:rsidRPr="0017063C">
        <w:rPr>
          <w:rFonts w:asciiTheme="minorHAnsi" w:hAnsiTheme="minorHAnsi"/>
          <w:sz w:val="24"/>
          <w:szCs w:val="24"/>
        </w:rPr>
        <w:t>ity</w:t>
      </w:r>
      <w:r>
        <w:rPr>
          <w:rFonts w:asciiTheme="minorHAnsi" w:hAnsiTheme="minorHAnsi"/>
          <w:sz w:val="24"/>
          <w:szCs w:val="24"/>
        </w:rPr>
        <w:t xml:space="preserve"> and security of the examinations conducted by the school.</w:t>
      </w:r>
    </w:p>
    <w:p w:rsidR="004B403C" w:rsidRPr="00CB4D52" w:rsidRDefault="004B403C" w:rsidP="004B403C">
      <w:pPr>
        <w:pStyle w:val="NoSpacing"/>
        <w:ind w:left="720"/>
        <w:jc w:val="both"/>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B403C" w:rsidRPr="00B974D4" w:rsidRDefault="004B403C" w:rsidP="004B403C">
      <w:pPr>
        <w:shd w:val="clear" w:color="auto" w:fill="DFECEB" w:themeFill="accent6" w:themeFillTint="33"/>
        <w:spacing w:after="120"/>
        <w:jc w:val="both"/>
        <w:rPr>
          <w:rFonts w:ascii="Bookman Old Style" w:hAnsi="Bookman Old Style"/>
          <w:color w:val="1C6194" w:themeColor="accent2" w:themeShade="BF"/>
          <w:lang w:val="en-GB"/>
        </w:rPr>
      </w:pPr>
    </w:p>
    <w:p w:rsidR="004B403C" w:rsidRDefault="004B403C" w:rsidP="00947B98">
      <w:pPr>
        <w:rPr>
          <w:b/>
          <w:szCs w:val="24"/>
          <w:lang w:val="en-GB"/>
        </w:rPr>
      </w:pPr>
    </w:p>
    <w:p w:rsidR="00384C74" w:rsidRPr="00F913FE" w:rsidRDefault="009A69FB" w:rsidP="00384C74">
      <w:pPr>
        <w:jc w:val="center"/>
        <w:rPr>
          <w:b/>
          <w:szCs w:val="24"/>
          <w:lang w:val="en-GB"/>
        </w:rPr>
      </w:pPr>
      <w:r w:rsidRPr="0017063C">
        <w:rPr>
          <w:b/>
          <w:szCs w:val="24"/>
          <w:lang w:val="en-GB"/>
        </w:rPr>
        <w:t>END OF SECTION V</w:t>
      </w:r>
      <w:r w:rsidR="008556D8" w:rsidRPr="0017063C">
        <w:rPr>
          <w:b/>
          <w:szCs w:val="24"/>
          <w:lang w:val="en-GB"/>
        </w:rPr>
        <w:t>I</w:t>
      </w:r>
      <w:bookmarkStart w:id="0" w:name="_GoBack"/>
      <w:bookmarkEnd w:id="0"/>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E6" w:rsidRDefault="007267E6">
      <w:pPr>
        <w:spacing w:after="0" w:line="240" w:lineRule="auto"/>
      </w:pPr>
      <w:r>
        <w:separator/>
      </w:r>
    </w:p>
  </w:endnote>
  <w:endnote w:type="continuationSeparator" w:id="0">
    <w:p w:rsidR="007267E6" w:rsidRDefault="0072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D" w:rsidRDefault="00D529D0">
    <w:pPr>
      <w:pStyle w:val="Footer"/>
    </w:pPr>
    <w:r>
      <w:t>E</w:t>
    </w:r>
    <w:r w:rsidR="00012C9D">
      <w:t>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280751" w:rsidP="00D529D0">
    <w:pPr>
      <w:pStyle w:val="Footer"/>
      <w:pBdr>
        <w:top w:val="single" w:sz="4" w:space="1" w:color="auto"/>
      </w:pBdr>
      <w:spacing w:line="480" w:lineRule="auto"/>
    </w:pPr>
    <w:r>
      <w:t xml:space="preserve">Educational Database </w:t>
    </w:r>
    <w:r w:rsidRPr="00280751">
      <w:rPr>
        <w:color w:val="1C6194" w:themeColor="accent2" w:themeShade="BF"/>
      </w:rPr>
      <w:t>[N</w:t>
    </w:r>
    <w:r w:rsidR="00D529D0" w:rsidRPr="00280751">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E6" w:rsidRDefault="007267E6">
      <w:pPr>
        <w:spacing w:after="0" w:line="240" w:lineRule="auto"/>
      </w:pPr>
      <w:r>
        <w:separator/>
      </w:r>
    </w:p>
  </w:footnote>
  <w:footnote w:type="continuationSeparator" w:id="0">
    <w:p w:rsidR="007267E6" w:rsidRDefault="0072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7267E6">
    <w:pPr>
      <w:pStyle w:val="Header"/>
    </w:pPr>
    <w:r>
      <w:rPr>
        <w:noProof/>
        <w:lang w:eastAsia="en-US"/>
      </w:rPr>
      <w:pict>
        <v:shapetype id="_x0000_t202" coordsize="21600,21600" o:spt="202" path="m,l,21600r21600,l21600,xe">
          <v:stroke joinstyle="miter"/>
          <v:path gradientshapeok="t" o:connecttype="rect"/>
        </v:shapetype>
        <v:shape id="Text Box 5" o:spid="_x0000_s2052" type="#_x0000_t202" style="position:absolute;margin-left:0;margin-top:0;width:468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 xml:space="preserve">Section I – </w:t>
                    </w:r>
                    <w:r w:rsidR="009A69FB">
                      <w:t>Educational Resources</w:t>
                    </w:r>
                  </w:p>
                </w:sdtContent>
              </w:sdt>
            </w:txbxContent>
          </v:textbox>
          <w10:wrap anchorx="margin" anchory="margin"/>
        </v:shape>
      </w:pict>
    </w:r>
    <w:r>
      <w:rPr>
        <w:noProof/>
        <w:lang w:eastAsia="en-US"/>
      </w:rPr>
      <w:pict>
        <v:shape id="Text Box 6" o:spid="_x0000_s2051" type="#_x0000_t202" style="position:absolute;margin-left:0;margin-top:0;width:1in;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D529D0" w:rsidRDefault="00D529D0">
                <w:pPr>
                  <w:spacing w:after="0" w:line="240" w:lineRule="auto"/>
                  <w:jc w:val="right"/>
                  <w:rPr>
                    <w:color w:val="FFFFFF" w:themeColor="background1"/>
                  </w:rPr>
                </w:pPr>
                <w:r w:rsidRPr="00D529D0">
                  <w:rPr>
                    <w:color w:val="FFFFFF" w:themeColor="background1"/>
                  </w:rPr>
                  <w:t>Page</w:t>
                </w:r>
                <w:r w:rsidR="00D64CC0">
                  <w:fldChar w:fldCharType="begin"/>
                </w:r>
                <w:r>
                  <w:instrText xml:space="preserve"> PAGE   \* MERGEFORMAT </w:instrText>
                </w:r>
                <w:r w:rsidR="00D64CC0">
                  <w:fldChar w:fldCharType="separate"/>
                </w:r>
                <w:r w:rsidR="000C562E" w:rsidRPr="000C562E">
                  <w:rPr>
                    <w:noProof/>
                    <w:color w:val="FFFFFF" w:themeColor="background1"/>
                  </w:rPr>
                  <w:t>3</w:t>
                </w:r>
                <w:r w:rsidR="00D64CC0">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77" w:rsidRDefault="007267E6">
    <w:pPr>
      <w:pStyle w:val="Header"/>
    </w:pPr>
    <w:r>
      <w:rPr>
        <w:noProof/>
        <w:lang w:eastAsia="en-US"/>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9A69FB">
                    <w:pPr>
                      <w:spacing w:after="0" w:line="240" w:lineRule="auto"/>
                      <w:rPr>
                        <w:rFonts w:ascii="Arial" w:hAnsi="Arial" w:cs="Arial"/>
                      </w:rPr>
                    </w:pPr>
                    <w:r>
                      <w:rPr>
                        <w:rFonts w:ascii="Arial" w:hAnsi="Arial" w:cs="Arial"/>
                        <w:lang w:val="en-JM"/>
                      </w:rPr>
                      <w:t>Section I – Educational Resources</w:t>
                    </w:r>
                  </w:p>
                </w:sdtContent>
              </w:sdt>
            </w:txbxContent>
          </v:textbox>
          <w10:wrap anchorx="margin" anchory="margin"/>
        </v:shape>
      </w:pict>
    </w:r>
    <w:r>
      <w:rPr>
        <w:noProof/>
        <w:lang w:eastAsia="en-US"/>
      </w:rPr>
      <w:pict>
        <v:shape id="Text Box 219" o:spid="_x0000_s2049"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353F77" w:rsidRDefault="00D64CC0">
                <w:pPr>
                  <w:spacing w:after="0" w:line="240" w:lineRule="auto"/>
                  <w:jc w:val="right"/>
                  <w:rPr>
                    <w:color w:val="FFFFFF" w:themeColor="background1"/>
                  </w:rPr>
                </w:pPr>
                <w:r>
                  <w:fldChar w:fldCharType="begin"/>
                </w:r>
                <w:r w:rsidR="00353F77">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05D"/>
    <w:multiLevelType w:val="hybridMultilevel"/>
    <w:tmpl w:val="03F65472"/>
    <w:lvl w:ilvl="0" w:tplc="20090001">
      <w:start w:val="1"/>
      <w:numFmt w:val="bullet"/>
      <w:lvlText w:val=""/>
      <w:lvlJc w:val="left"/>
      <w:pPr>
        <w:tabs>
          <w:tab w:val="num" w:pos="360"/>
        </w:tabs>
        <w:ind w:left="360" w:hanging="360"/>
      </w:pPr>
      <w:rPr>
        <w:rFonts w:ascii="Symbol" w:hAnsi="Symbo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04F9C"/>
    <w:multiLevelType w:val="hybridMultilevel"/>
    <w:tmpl w:val="A6241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0F10"/>
    <w:multiLevelType w:val="hybridMultilevel"/>
    <w:tmpl w:val="3678E124"/>
    <w:lvl w:ilvl="0" w:tplc="49BC0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33854"/>
    <w:multiLevelType w:val="hybridMultilevel"/>
    <w:tmpl w:val="8C4265F2"/>
    <w:lvl w:ilvl="0" w:tplc="462696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D40F5"/>
    <w:multiLevelType w:val="hybridMultilevel"/>
    <w:tmpl w:val="1FEAD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240B2"/>
    <w:multiLevelType w:val="hybridMultilevel"/>
    <w:tmpl w:val="7A800DCE"/>
    <w:lvl w:ilvl="0" w:tplc="28EC30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87A53"/>
    <w:multiLevelType w:val="hybridMultilevel"/>
    <w:tmpl w:val="49E0AC0A"/>
    <w:lvl w:ilvl="0" w:tplc="28EC30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12AE"/>
    <w:multiLevelType w:val="hybridMultilevel"/>
    <w:tmpl w:val="C0A6453C"/>
    <w:lvl w:ilvl="0" w:tplc="F06E6D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4755C66"/>
    <w:multiLevelType w:val="hybridMultilevel"/>
    <w:tmpl w:val="12E086D6"/>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279359A4"/>
    <w:multiLevelType w:val="hybridMultilevel"/>
    <w:tmpl w:val="3AF2CABC"/>
    <w:lvl w:ilvl="0" w:tplc="208A976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15:restartNumberingAfterBreak="0">
    <w:nsid w:val="2AAF35CF"/>
    <w:multiLevelType w:val="hybridMultilevel"/>
    <w:tmpl w:val="EE38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315E2"/>
    <w:multiLevelType w:val="hybridMultilevel"/>
    <w:tmpl w:val="9B7C6708"/>
    <w:lvl w:ilvl="0" w:tplc="308A8EA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15:restartNumberingAfterBreak="0">
    <w:nsid w:val="2E1D5783"/>
    <w:multiLevelType w:val="hybridMultilevel"/>
    <w:tmpl w:val="824ADEC0"/>
    <w:lvl w:ilvl="0" w:tplc="2466B73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15:restartNumberingAfterBreak="0">
    <w:nsid w:val="33737AAE"/>
    <w:multiLevelType w:val="hybridMultilevel"/>
    <w:tmpl w:val="DEE46B1E"/>
    <w:lvl w:ilvl="0" w:tplc="F0B02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970C1"/>
    <w:multiLevelType w:val="hybridMultilevel"/>
    <w:tmpl w:val="D07CBD90"/>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5" w15:restartNumberingAfterBreak="0">
    <w:nsid w:val="3B6E1DFB"/>
    <w:multiLevelType w:val="hybridMultilevel"/>
    <w:tmpl w:val="411AD6D4"/>
    <w:lvl w:ilvl="0" w:tplc="28EC302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15:restartNumberingAfterBreak="0">
    <w:nsid w:val="3B92096E"/>
    <w:multiLevelType w:val="hybridMultilevel"/>
    <w:tmpl w:val="C07CE104"/>
    <w:lvl w:ilvl="0" w:tplc="EB96874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7" w15:restartNumberingAfterBreak="0">
    <w:nsid w:val="3D2504C3"/>
    <w:multiLevelType w:val="hybridMultilevel"/>
    <w:tmpl w:val="A1384CF2"/>
    <w:lvl w:ilvl="0" w:tplc="E00CAD28">
      <w:start w:val="1"/>
      <w:numFmt w:val="lowerLetter"/>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86DE6"/>
    <w:multiLevelType w:val="hybridMultilevel"/>
    <w:tmpl w:val="BE740D9C"/>
    <w:lvl w:ilvl="0" w:tplc="8B62AE3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9" w15:restartNumberingAfterBreak="0">
    <w:nsid w:val="3FB37CA8"/>
    <w:multiLevelType w:val="hybridMultilevel"/>
    <w:tmpl w:val="0562E1D2"/>
    <w:lvl w:ilvl="0" w:tplc="28EC30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1C82"/>
    <w:multiLevelType w:val="hybridMultilevel"/>
    <w:tmpl w:val="D196EEA8"/>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51F2740E"/>
    <w:multiLevelType w:val="hybridMultilevel"/>
    <w:tmpl w:val="3280DEA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52DF79DE"/>
    <w:multiLevelType w:val="hybridMultilevel"/>
    <w:tmpl w:val="D9563094"/>
    <w:lvl w:ilvl="0" w:tplc="1B7A74D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15:restartNumberingAfterBreak="0">
    <w:nsid w:val="58CD7CB9"/>
    <w:multiLevelType w:val="hybridMultilevel"/>
    <w:tmpl w:val="9280C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F2A96"/>
    <w:multiLevelType w:val="hybridMultilevel"/>
    <w:tmpl w:val="18B083FC"/>
    <w:lvl w:ilvl="0" w:tplc="EEEA4C8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5" w15:restartNumberingAfterBreak="0">
    <w:nsid w:val="5F0D43A5"/>
    <w:multiLevelType w:val="hybridMultilevel"/>
    <w:tmpl w:val="C952FBE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60710B6B"/>
    <w:multiLevelType w:val="hybridMultilevel"/>
    <w:tmpl w:val="90CEAAF0"/>
    <w:lvl w:ilvl="0" w:tplc="0409001B">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C15B66"/>
    <w:multiLevelType w:val="hybridMultilevel"/>
    <w:tmpl w:val="CC3CAD66"/>
    <w:lvl w:ilvl="0" w:tplc="28EC30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13F86"/>
    <w:multiLevelType w:val="hybridMultilevel"/>
    <w:tmpl w:val="5868F950"/>
    <w:lvl w:ilvl="0" w:tplc="28EC30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848DB"/>
    <w:multiLevelType w:val="hybridMultilevel"/>
    <w:tmpl w:val="55144FDC"/>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5"/>
  </w:num>
  <w:num w:numId="2">
    <w:abstractNumId w:val="22"/>
  </w:num>
  <w:num w:numId="3">
    <w:abstractNumId w:val="4"/>
  </w:num>
  <w:num w:numId="4">
    <w:abstractNumId w:val="16"/>
  </w:num>
  <w:num w:numId="5">
    <w:abstractNumId w:val="14"/>
  </w:num>
  <w:num w:numId="6">
    <w:abstractNumId w:val="24"/>
  </w:num>
  <w:num w:numId="7">
    <w:abstractNumId w:val="12"/>
  </w:num>
  <w:num w:numId="8">
    <w:abstractNumId w:val="18"/>
  </w:num>
  <w:num w:numId="9">
    <w:abstractNumId w:val="9"/>
  </w:num>
  <w:num w:numId="10">
    <w:abstractNumId w:val="7"/>
  </w:num>
  <w:num w:numId="11">
    <w:abstractNumId w:val="17"/>
  </w:num>
  <w:num w:numId="12">
    <w:abstractNumId w:val="0"/>
  </w:num>
  <w:num w:numId="13">
    <w:abstractNumId w:val="8"/>
  </w:num>
  <w:num w:numId="14">
    <w:abstractNumId w:val="11"/>
  </w:num>
  <w:num w:numId="15">
    <w:abstractNumId w:val="21"/>
  </w:num>
  <w:num w:numId="16">
    <w:abstractNumId w:val="20"/>
  </w:num>
  <w:num w:numId="17">
    <w:abstractNumId w:val="29"/>
  </w:num>
  <w:num w:numId="18">
    <w:abstractNumId w:val="25"/>
  </w:num>
  <w:num w:numId="19">
    <w:abstractNumId w:val="10"/>
  </w:num>
  <w:num w:numId="20">
    <w:abstractNumId w:val="23"/>
  </w:num>
  <w:num w:numId="21">
    <w:abstractNumId w:val="6"/>
  </w:num>
  <w:num w:numId="22">
    <w:abstractNumId w:val="2"/>
  </w:num>
  <w:num w:numId="23">
    <w:abstractNumId w:val="19"/>
  </w:num>
  <w:num w:numId="24">
    <w:abstractNumId w:val="27"/>
  </w:num>
  <w:num w:numId="25">
    <w:abstractNumId w:val="26"/>
  </w:num>
  <w:num w:numId="26">
    <w:abstractNumId w:val="1"/>
  </w:num>
  <w:num w:numId="27">
    <w:abstractNumId w:val="5"/>
  </w:num>
  <w:num w:numId="28">
    <w:abstractNumId w:val="13"/>
  </w:num>
  <w:num w:numId="29">
    <w:abstractNumId w:val="28"/>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539C4"/>
    <w:rsid w:val="00012C9D"/>
    <w:rsid w:val="000A0F9B"/>
    <w:rsid w:val="000C163F"/>
    <w:rsid w:val="000C291F"/>
    <w:rsid w:val="000C562E"/>
    <w:rsid w:val="000C7407"/>
    <w:rsid w:val="0011375B"/>
    <w:rsid w:val="00123E1E"/>
    <w:rsid w:val="0013591F"/>
    <w:rsid w:val="0017063C"/>
    <w:rsid w:val="00207ADF"/>
    <w:rsid w:val="00212C47"/>
    <w:rsid w:val="002147E3"/>
    <w:rsid w:val="00216BF8"/>
    <w:rsid w:val="002450C8"/>
    <w:rsid w:val="0024640E"/>
    <w:rsid w:val="002629C6"/>
    <w:rsid w:val="00280751"/>
    <w:rsid w:val="002B5162"/>
    <w:rsid w:val="002C1B16"/>
    <w:rsid w:val="002F6C75"/>
    <w:rsid w:val="00305C71"/>
    <w:rsid w:val="00351036"/>
    <w:rsid w:val="00352498"/>
    <w:rsid w:val="00353F77"/>
    <w:rsid w:val="003548CE"/>
    <w:rsid w:val="00355C3E"/>
    <w:rsid w:val="00384452"/>
    <w:rsid w:val="00384C74"/>
    <w:rsid w:val="00397AD5"/>
    <w:rsid w:val="003A546B"/>
    <w:rsid w:val="004064A4"/>
    <w:rsid w:val="004156AB"/>
    <w:rsid w:val="00440D03"/>
    <w:rsid w:val="004A7F4B"/>
    <w:rsid w:val="004B403C"/>
    <w:rsid w:val="004B7342"/>
    <w:rsid w:val="004C0747"/>
    <w:rsid w:val="004C5BFF"/>
    <w:rsid w:val="004D6C68"/>
    <w:rsid w:val="004E2113"/>
    <w:rsid w:val="004F4349"/>
    <w:rsid w:val="00501A8E"/>
    <w:rsid w:val="005106C5"/>
    <w:rsid w:val="00580709"/>
    <w:rsid w:val="005824B1"/>
    <w:rsid w:val="005839B3"/>
    <w:rsid w:val="005A32C5"/>
    <w:rsid w:val="005A598D"/>
    <w:rsid w:val="005F4BF4"/>
    <w:rsid w:val="00614D33"/>
    <w:rsid w:val="00636BFF"/>
    <w:rsid w:val="00674D60"/>
    <w:rsid w:val="006D0A03"/>
    <w:rsid w:val="006D5569"/>
    <w:rsid w:val="006E5E85"/>
    <w:rsid w:val="007004B5"/>
    <w:rsid w:val="0071525C"/>
    <w:rsid w:val="007267E6"/>
    <w:rsid w:val="00761D34"/>
    <w:rsid w:val="00771F16"/>
    <w:rsid w:val="00773A2E"/>
    <w:rsid w:val="0078294C"/>
    <w:rsid w:val="007B14BA"/>
    <w:rsid w:val="007C05C0"/>
    <w:rsid w:val="00811590"/>
    <w:rsid w:val="008539C4"/>
    <w:rsid w:val="008556D8"/>
    <w:rsid w:val="00857B9D"/>
    <w:rsid w:val="008A107D"/>
    <w:rsid w:val="008B6008"/>
    <w:rsid w:val="008E569E"/>
    <w:rsid w:val="00905816"/>
    <w:rsid w:val="00932E9C"/>
    <w:rsid w:val="00947B98"/>
    <w:rsid w:val="00971DEC"/>
    <w:rsid w:val="009A69FB"/>
    <w:rsid w:val="009A795B"/>
    <w:rsid w:val="00A172C9"/>
    <w:rsid w:val="00A22759"/>
    <w:rsid w:val="00A24625"/>
    <w:rsid w:val="00A46095"/>
    <w:rsid w:val="00AA5230"/>
    <w:rsid w:val="00AC02C3"/>
    <w:rsid w:val="00AE5BCA"/>
    <w:rsid w:val="00B10AC0"/>
    <w:rsid w:val="00B20C09"/>
    <w:rsid w:val="00B322A6"/>
    <w:rsid w:val="00B36F47"/>
    <w:rsid w:val="00B440F9"/>
    <w:rsid w:val="00B574E9"/>
    <w:rsid w:val="00B60164"/>
    <w:rsid w:val="00B64B70"/>
    <w:rsid w:val="00B66857"/>
    <w:rsid w:val="00B74E13"/>
    <w:rsid w:val="00B974D4"/>
    <w:rsid w:val="00BA010C"/>
    <w:rsid w:val="00BA3B94"/>
    <w:rsid w:val="00BD395A"/>
    <w:rsid w:val="00BE0B2F"/>
    <w:rsid w:val="00C07BE9"/>
    <w:rsid w:val="00C12B63"/>
    <w:rsid w:val="00C21CEE"/>
    <w:rsid w:val="00C34D79"/>
    <w:rsid w:val="00C42A83"/>
    <w:rsid w:val="00C5451E"/>
    <w:rsid w:val="00CD10D0"/>
    <w:rsid w:val="00D110D3"/>
    <w:rsid w:val="00D529D0"/>
    <w:rsid w:val="00D64CC0"/>
    <w:rsid w:val="00D71FD3"/>
    <w:rsid w:val="00DA3C6E"/>
    <w:rsid w:val="00DA4F0D"/>
    <w:rsid w:val="00DA6052"/>
    <w:rsid w:val="00DD5900"/>
    <w:rsid w:val="00DF0AE5"/>
    <w:rsid w:val="00DF318D"/>
    <w:rsid w:val="00E46795"/>
    <w:rsid w:val="00E538EB"/>
    <w:rsid w:val="00E8201D"/>
    <w:rsid w:val="00EB4BFC"/>
    <w:rsid w:val="00EB5E82"/>
    <w:rsid w:val="00EB6A29"/>
    <w:rsid w:val="00ED32B0"/>
    <w:rsid w:val="00F14B6E"/>
    <w:rsid w:val="00F24814"/>
    <w:rsid w:val="00F46244"/>
    <w:rsid w:val="00F46BE6"/>
    <w:rsid w:val="00F82B7F"/>
    <w:rsid w:val="00F8336F"/>
    <w:rsid w:val="00F90307"/>
    <w:rsid w:val="00F9577D"/>
    <w:rsid w:val="00FC31E2"/>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F583F08-AE04-49F4-9E19-E4E397A8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C42A83"/>
    <w:pPr>
      <w:keepNext/>
      <w:keepLines/>
      <w:tabs>
        <w:tab w:val="left" w:pos="1260"/>
      </w:tabs>
      <w:spacing w:before="480" w:after="0"/>
      <w:ind w:left="360"/>
      <w:outlineLvl w:val="0"/>
    </w:pPr>
    <w:rPr>
      <w:rFonts w:eastAsiaTheme="majorEastAsia" w:cstheme="majorBidi"/>
      <w:bCs/>
      <w:sz w:val="24"/>
      <w:szCs w:val="24"/>
    </w:rPr>
  </w:style>
  <w:style w:type="paragraph" w:styleId="Heading2">
    <w:name w:val="heading 2"/>
    <w:basedOn w:val="Normal"/>
    <w:next w:val="Normal"/>
    <w:link w:val="Heading2Char"/>
    <w:autoRedefine/>
    <w:uiPriority w:val="9"/>
    <w:unhideWhenUsed/>
    <w:qFormat/>
    <w:rsid w:val="00F24814"/>
    <w:pPr>
      <w:keepNext/>
      <w:keepLines/>
      <w:spacing w:before="36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83"/>
    <w:rPr>
      <w:rFonts w:eastAsiaTheme="majorEastAsia" w:cstheme="majorBidi"/>
      <w:bCs/>
      <w:sz w:val="24"/>
      <w:szCs w:val="24"/>
    </w:rPr>
  </w:style>
  <w:style w:type="character" w:customStyle="1" w:styleId="Heading2Char">
    <w:name w:val="Heading 2 Char"/>
    <w:basedOn w:val="DefaultParagraphFont"/>
    <w:link w:val="Heading2"/>
    <w:uiPriority w:val="9"/>
    <w:rsid w:val="00F2481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D64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rsid w:val="00D64CC0"/>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rsid w:val="00D64CC0"/>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1A8E"/>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9A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D495-B755-4120-8AD8-42B33A94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5</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I – Educational Resources</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Educational Resources</dc:title>
  <dc:creator>BRANDAY,Joseph</dc:creator>
  <cp:lastModifiedBy>Sheikera</cp:lastModifiedBy>
  <cp:revision>2</cp:revision>
  <dcterms:created xsi:type="dcterms:W3CDTF">2019-05-06T15:41:00Z</dcterms:created>
  <dcterms:modified xsi:type="dcterms:W3CDTF">2019-05-06T15:41:00Z</dcterms:modified>
</cp:coreProperties>
</file>